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AD9B4">
      <w:pPr>
        <w:spacing w:before="240" w:line="400" w:lineRule="atLeast"/>
        <w:jc w:val="center"/>
        <w:rPr>
          <w:rFonts w:ascii="宋体" w:hAnsi="宋体"/>
          <w:b/>
          <w:sz w:val="36"/>
        </w:rPr>
      </w:pPr>
      <w:r>
        <w:rPr>
          <w:rFonts w:hint="eastAsia" w:ascii="宋体" w:hAnsi="宋体"/>
          <w:b/>
          <w:sz w:val="36"/>
        </w:rPr>
        <w:t xml:space="preserve">         </w:t>
      </w:r>
    </w:p>
    <w:p w14:paraId="644EAFCC">
      <w:pPr>
        <w:spacing w:before="240" w:line="400" w:lineRule="atLeast"/>
        <w:jc w:val="center"/>
        <w:rPr>
          <w:rFonts w:ascii="宋体" w:hAnsi="宋体"/>
          <w:b/>
          <w:sz w:val="36"/>
        </w:rPr>
      </w:pPr>
    </w:p>
    <w:p w14:paraId="39BB040B">
      <w:pPr>
        <w:pStyle w:val="26"/>
        <w:ind w:left="0" w:leftChars="0" w:firstLine="0" w:firstLineChars="0"/>
        <w:rPr>
          <w:rFonts w:ascii="宋体" w:hAnsi="宋体"/>
          <w:b/>
          <w:sz w:val="36"/>
        </w:rPr>
      </w:pPr>
      <w:bookmarkStart w:id="4" w:name="_GoBack"/>
      <w:bookmarkEnd w:id="4"/>
    </w:p>
    <w:p w14:paraId="5696F927">
      <w:pPr>
        <w:pStyle w:val="26"/>
        <w:ind w:firstLine="723"/>
        <w:jc w:val="center"/>
        <w:rPr>
          <w:rFonts w:ascii="宋体" w:hAnsi="宋体"/>
          <w:b/>
          <w:sz w:val="36"/>
        </w:rPr>
      </w:pPr>
      <w:r>
        <w:rPr>
          <w:rFonts w:hint="eastAsia" w:ascii="宋体" w:hAnsi="宋体"/>
          <w:b/>
          <w:sz w:val="36"/>
        </w:rPr>
        <w:t>采购文件</w:t>
      </w:r>
    </w:p>
    <w:p w14:paraId="78E1413B">
      <w:pPr>
        <w:pStyle w:val="26"/>
        <w:ind w:firstLine="723"/>
        <w:jc w:val="left"/>
        <w:rPr>
          <w:rFonts w:ascii="宋体" w:hAnsi="宋体"/>
          <w:b/>
          <w:sz w:val="36"/>
        </w:rPr>
      </w:pPr>
    </w:p>
    <w:p w14:paraId="74905C22">
      <w:pPr>
        <w:pStyle w:val="26"/>
        <w:ind w:firstLine="723"/>
        <w:jc w:val="left"/>
        <w:rPr>
          <w:rFonts w:ascii="宋体" w:hAnsi="宋体"/>
          <w:b/>
          <w:sz w:val="36"/>
        </w:rPr>
      </w:pPr>
    </w:p>
    <w:p w14:paraId="612B6D2D">
      <w:pPr>
        <w:pStyle w:val="26"/>
        <w:ind w:left="0" w:leftChars="0" w:firstLine="0" w:firstLineChars="0"/>
        <w:rPr>
          <w:rFonts w:ascii="宋体" w:hAnsi="宋体"/>
          <w:b/>
          <w:sz w:val="36"/>
        </w:rPr>
      </w:pPr>
      <w:r>
        <w:rPr>
          <w:rFonts w:hint="eastAsia" w:ascii="宋体" w:hAnsi="宋体"/>
          <w:b/>
          <w:sz w:val="36"/>
        </w:rPr>
        <w:t>项目名称：</w:t>
      </w:r>
      <w:r>
        <w:rPr>
          <w:rFonts w:hint="eastAsia" w:ascii="宋体" w:hAnsi="宋体"/>
          <w:b/>
          <w:sz w:val="36"/>
          <w:lang w:val="en-US" w:eastAsia="zh-CN"/>
        </w:rPr>
        <w:t xml:space="preserve">   </w:t>
      </w:r>
      <w:r>
        <w:rPr>
          <w:rFonts w:hint="eastAsia" w:ascii="宋体" w:hAnsi="宋体"/>
          <w:b/>
          <w:sz w:val="36"/>
        </w:rPr>
        <w:t>北京大学第六医院硬件及桌面运维采购项目</w:t>
      </w:r>
    </w:p>
    <w:p w14:paraId="5A0835AE">
      <w:pPr>
        <w:pStyle w:val="26"/>
        <w:ind w:firstLine="723"/>
        <w:jc w:val="left"/>
        <w:rPr>
          <w:rFonts w:ascii="宋体" w:hAnsi="宋体"/>
          <w:b/>
          <w:sz w:val="36"/>
        </w:rPr>
      </w:pPr>
    </w:p>
    <w:p w14:paraId="0800485B">
      <w:pPr>
        <w:pStyle w:val="26"/>
        <w:ind w:firstLine="723"/>
        <w:rPr>
          <w:rFonts w:ascii="宋体" w:hAnsi="宋体"/>
          <w:b/>
          <w:sz w:val="36"/>
        </w:rPr>
      </w:pPr>
    </w:p>
    <w:p w14:paraId="0DE46D01">
      <w:pPr>
        <w:pStyle w:val="26"/>
        <w:ind w:firstLine="723"/>
        <w:rPr>
          <w:rFonts w:ascii="宋体" w:hAnsi="宋体"/>
          <w:b/>
          <w:sz w:val="36"/>
        </w:rPr>
      </w:pPr>
    </w:p>
    <w:p w14:paraId="0F367DB5">
      <w:pPr>
        <w:pStyle w:val="26"/>
        <w:ind w:firstLine="723"/>
        <w:rPr>
          <w:rFonts w:ascii="宋体" w:hAnsi="宋体"/>
          <w:b/>
          <w:sz w:val="36"/>
        </w:rPr>
      </w:pPr>
    </w:p>
    <w:p w14:paraId="38814107">
      <w:pPr>
        <w:pStyle w:val="26"/>
        <w:ind w:firstLine="723"/>
        <w:rPr>
          <w:rFonts w:ascii="宋体" w:hAnsi="宋体"/>
          <w:b/>
          <w:sz w:val="36"/>
        </w:rPr>
      </w:pPr>
    </w:p>
    <w:p w14:paraId="51A86CD4">
      <w:pPr>
        <w:pStyle w:val="26"/>
        <w:ind w:firstLine="723"/>
        <w:rPr>
          <w:rFonts w:ascii="宋体" w:hAnsi="宋体"/>
          <w:b/>
          <w:sz w:val="36"/>
        </w:rPr>
      </w:pPr>
    </w:p>
    <w:p w14:paraId="4563DF33">
      <w:pPr>
        <w:pStyle w:val="26"/>
        <w:ind w:firstLine="723"/>
        <w:rPr>
          <w:rFonts w:ascii="宋体" w:hAnsi="宋体"/>
          <w:b/>
          <w:sz w:val="36"/>
        </w:rPr>
      </w:pPr>
    </w:p>
    <w:p w14:paraId="23768DBB">
      <w:pPr>
        <w:pStyle w:val="26"/>
        <w:ind w:firstLine="723"/>
        <w:rPr>
          <w:rFonts w:ascii="宋体" w:hAnsi="宋体"/>
          <w:b/>
          <w:sz w:val="36"/>
        </w:rPr>
      </w:pPr>
    </w:p>
    <w:p w14:paraId="16280F7C">
      <w:pPr>
        <w:pStyle w:val="26"/>
        <w:ind w:firstLine="723"/>
        <w:rPr>
          <w:rFonts w:ascii="宋体" w:hAnsi="宋体"/>
          <w:b/>
          <w:sz w:val="36"/>
        </w:rPr>
      </w:pPr>
    </w:p>
    <w:p w14:paraId="19E6C5A4">
      <w:pPr>
        <w:pStyle w:val="26"/>
        <w:ind w:firstLine="723"/>
        <w:rPr>
          <w:rFonts w:ascii="宋体" w:hAnsi="宋体"/>
          <w:b/>
          <w:sz w:val="36"/>
        </w:rPr>
      </w:pPr>
    </w:p>
    <w:p w14:paraId="4538E3E4">
      <w:pPr>
        <w:pStyle w:val="26"/>
        <w:ind w:firstLine="723"/>
        <w:rPr>
          <w:rFonts w:ascii="宋体" w:hAnsi="宋体"/>
          <w:b/>
          <w:sz w:val="36"/>
        </w:rPr>
      </w:pPr>
    </w:p>
    <w:p w14:paraId="328B8E53">
      <w:pPr>
        <w:pStyle w:val="26"/>
        <w:ind w:firstLine="723"/>
        <w:rPr>
          <w:rFonts w:ascii="宋体" w:hAnsi="宋体"/>
          <w:b/>
          <w:sz w:val="36"/>
        </w:rPr>
      </w:pPr>
    </w:p>
    <w:p w14:paraId="2EDFE098">
      <w:pPr>
        <w:pStyle w:val="26"/>
        <w:ind w:firstLine="723"/>
        <w:rPr>
          <w:rFonts w:ascii="宋体" w:hAnsi="宋体"/>
          <w:b/>
          <w:sz w:val="36"/>
        </w:rPr>
      </w:pPr>
    </w:p>
    <w:p w14:paraId="5DB7E3E9">
      <w:pPr>
        <w:pStyle w:val="26"/>
        <w:ind w:left="0" w:leftChars="0" w:firstLine="0" w:firstLineChars="0"/>
        <w:rPr>
          <w:rFonts w:ascii="宋体" w:hAnsi="宋体"/>
          <w:b/>
          <w:sz w:val="36"/>
        </w:rPr>
      </w:pPr>
    </w:p>
    <w:p w14:paraId="72AF406D">
      <w:pPr>
        <w:pStyle w:val="26"/>
        <w:ind w:left="0" w:leftChars="0" w:firstLine="0" w:firstLineChars="0"/>
        <w:rPr>
          <w:rFonts w:ascii="宋体" w:hAnsi="宋体"/>
          <w:b/>
          <w:sz w:val="36"/>
        </w:rPr>
      </w:pPr>
    </w:p>
    <w:p w14:paraId="48478D2F">
      <w:pPr>
        <w:pStyle w:val="26"/>
        <w:ind w:left="0" w:leftChars="0" w:firstLine="0" w:firstLineChars="0"/>
        <w:rPr>
          <w:rFonts w:ascii="宋体" w:hAnsi="宋体"/>
          <w:b/>
          <w:sz w:val="36"/>
        </w:rPr>
      </w:pPr>
    </w:p>
    <w:p w14:paraId="7C001A03">
      <w:pPr>
        <w:pStyle w:val="26"/>
        <w:ind w:left="0" w:leftChars="0" w:firstLine="0" w:firstLineChars="0"/>
        <w:rPr>
          <w:rFonts w:ascii="宋体" w:hAnsi="宋体"/>
          <w:b/>
          <w:sz w:val="36"/>
        </w:rPr>
      </w:pPr>
    </w:p>
    <w:p w14:paraId="2AF2F268">
      <w:pPr>
        <w:pStyle w:val="26"/>
        <w:ind w:left="0" w:leftChars="0" w:firstLine="0" w:firstLineChars="0"/>
        <w:rPr>
          <w:rFonts w:ascii="宋体" w:hAnsi="宋体"/>
          <w:b/>
          <w:sz w:val="36"/>
        </w:rPr>
      </w:pPr>
    </w:p>
    <w:p w14:paraId="454A4970">
      <w:pPr>
        <w:numPr>
          <w:ilvl w:val="0"/>
          <w:numId w:val="3"/>
        </w:numPr>
        <w:spacing w:before="240" w:line="400" w:lineRule="atLeast"/>
        <w:jc w:val="center"/>
        <w:rPr>
          <w:rFonts w:ascii="宋体" w:hAnsi="宋体"/>
          <w:b/>
          <w:sz w:val="36"/>
        </w:rPr>
      </w:pPr>
      <w:r>
        <w:rPr>
          <w:rFonts w:hint="eastAsia" w:ascii="宋体" w:hAnsi="宋体"/>
          <w:b/>
          <w:sz w:val="36"/>
        </w:rPr>
        <w:t>响应人须知</w:t>
      </w:r>
    </w:p>
    <w:p w14:paraId="4DF0165E">
      <w:pPr>
        <w:pStyle w:val="26"/>
        <w:ind w:firstLine="3915" w:firstLineChars="1300"/>
      </w:pPr>
      <w:r>
        <w:rPr>
          <w:rFonts w:hint="eastAsia" w:ascii="宋体" w:hAnsi="宋体"/>
          <w:b/>
          <w:sz w:val="30"/>
          <w:szCs w:val="30"/>
        </w:rPr>
        <w:t>A说明</w:t>
      </w:r>
      <w:r>
        <w:rPr>
          <w:rFonts w:hint="eastAsia" w:ascii="宋体" w:hAnsi="宋体"/>
          <w:b/>
          <w:sz w:val="36"/>
        </w:rPr>
        <w:t xml:space="preserve">       </w:t>
      </w:r>
    </w:p>
    <w:p w14:paraId="0E96F555">
      <w:pPr>
        <w:pStyle w:val="26"/>
        <w:numPr>
          <w:ilvl w:val="0"/>
          <w:numId w:val="4"/>
        </w:numPr>
        <w:ind w:firstLine="480"/>
        <w:rPr>
          <w:rFonts w:ascii="宋体" w:hAnsi="宋体"/>
          <w:bCs/>
          <w:sz w:val="24"/>
        </w:rPr>
      </w:pPr>
      <w:r>
        <w:rPr>
          <w:rFonts w:hint="eastAsia" w:ascii="宋体" w:hAnsi="宋体"/>
          <w:bCs/>
          <w:sz w:val="24"/>
        </w:rPr>
        <w:t>适用范围：</w:t>
      </w:r>
    </w:p>
    <w:p w14:paraId="504E87E8">
      <w:pPr>
        <w:pStyle w:val="26"/>
        <w:ind w:left="840" w:leftChars="400" w:firstLine="0" w:firstLineChars="0"/>
        <w:rPr>
          <w:rFonts w:ascii="宋体" w:hAnsi="宋体"/>
          <w:bCs/>
          <w:sz w:val="24"/>
        </w:rPr>
      </w:pPr>
      <w:r>
        <w:rPr>
          <w:rFonts w:hint="eastAsia" w:ascii="宋体" w:hAnsi="宋体"/>
          <w:bCs/>
          <w:sz w:val="24"/>
        </w:rPr>
        <w:t xml:space="preserve">   1.1项目名称：北京大学第六医院硬件及桌面运维采购项目</w:t>
      </w:r>
    </w:p>
    <w:p w14:paraId="6FC0BACD">
      <w:pPr>
        <w:pStyle w:val="26"/>
        <w:ind w:left="840" w:leftChars="400" w:firstLine="0" w:firstLineChars="0"/>
        <w:rPr>
          <w:rFonts w:ascii="宋体" w:hAnsi="宋体"/>
          <w:bCs/>
          <w:sz w:val="24"/>
        </w:rPr>
      </w:pPr>
      <w:r>
        <w:rPr>
          <w:rFonts w:hint="eastAsia" w:ascii="宋体" w:hAnsi="宋体"/>
          <w:bCs/>
          <w:sz w:val="24"/>
        </w:rPr>
        <w:t xml:space="preserve">   1.2项目预算：114534元人民币。</w:t>
      </w:r>
    </w:p>
    <w:p w14:paraId="4FCB3D69">
      <w:pPr>
        <w:pStyle w:val="26"/>
        <w:ind w:left="840" w:leftChars="400" w:firstLine="0" w:firstLineChars="0"/>
        <w:rPr>
          <w:rFonts w:ascii="宋体" w:hAnsi="宋体"/>
          <w:bCs/>
          <w:sz w:val="24"/>
        </w:rPr>
      </w:pPr>
      <w:r>
        <w:rPr>
          <w:rFonts w:hint="eastAsia" w:ascii="宋体" w:hAnsi="宋体"/>
          <w:bCs/>
          <w:sz w:val="24"/>
        </w:rPr>
        <w:t xml:space="preserve">   1.3资金来源：财政资金。</w:t>
      </w:r>
    </w:p>
    <w:p w14:paraId="42FFD78F">
      <w:pPr>
        <w:pStyle w:val="26"/>
        <w:ind w:left="840" w:leftChars="400" w:firstLine="0" w:firstLineChars="0"/>
        <w:rPr>
          <w:rFonts w:ascii="宋体" w:hAnsi="宋体"/>
          <w:bCs/>
          <w:sz w:val="24"/>
        </w:rPr>
      </w:pPr>
      <w:r>
        <w:rPr>
          <w:rFonts w:hint="eastAsia" w:ascii="宋体" w:hAnsi="宋体"/>
          <w:bCs/>
          <w:sz w:val="24"/>
        </w:rPr>
        <w:t xml:space="preserve">   1.4项目属性：服务类。</w:t>
      </w:r>
    </w:p>
    <w:p w14:paraId="6BFD70CC">
      <w:pPr>
        <w:pStyle w:val="26"/>
        <w:ind w:left="840" w:leftChars="400" w:firstLine="0" w:firstLineChars="0"/>
      </w:pPr>
      <w:r>
        <w:rPr>
          <w:rFonts w:hint="eastAsia" w:ascii="宋体" w:hAnsi="宋体"/>
          <w:bCs/>
          <w:sz w:val="24"/>
        </w:rPr>
        <w:t xml:space="preserve">   1.5采购标的所属行业：</w:t>
      </w:r>
      <w:r>
        <w:rPr>
          <w:rFonts w:hint="eastAsia" w:ascii="宋体" w:hAnsi="宋体" w:cs="Arial"/>
          <w:iCs/>
          <w:sz w:val="24"/>
        </w:rPr>
        <w:t>软件和</w:t>
      </w:r>
      <w:r>
        <w:rPr>
          <w:rFonts w:ascii="宋体" w:hAnsi="宋体" w:cs="Arial"/>
          <w:iCs/>
          <w:sz w:val="24"/>
        </w:rPr>
        <w:t>信息技术服务业</w:t>
      </w:r>
      <w:r>
        <w:rPr>
          <w:rFonts w:hint="eastAsia" w:ascii="宋体" w:hAnsi="宋体"/>
          <w:bCs/>
          <w:sz w:val="24"/>
        </w:rPr>
        <w:t>。</w:t>
      </w:r>
    </w:p>
    <w:p w14:paraId="74DD38DE">
      <w:pPr>
        <w:pStyle w:val="26"/>
        <w:ind w:left="840" w:leftChars="400" w:firstLine="0" w:firstLineChars="0"/>
      </w:pPr>
      <w:r>
        <w:rPr>
          <w:rFonts w:hint="eastAsia" w:ascii="宋体" w:hAnsi="宋体"/>
          <w:bCs/>
          <w:sz w:val="24"/>
        </w:rPr>
        <w:t xml:space="preserve">   1.6本项目专门面向中小企业的项目。</w:t>
      </w:r>
    </w:p>
    <w:p w14:paraId="65DB991A">
      <w:pPr>
        <w:pStyle w:val="26"/>
        <w:numPr>
          <w:ilvl w:val="0"/>
          <w:numId w:val="4"/>
        </w:numPr>
        <w:ind w:firstLine="480"/>
        <w:rPr>
          <w:rFonts w:ascii="宋体" w:hAnsi="宋体"/>
          <w:bCs/>
          <w:sz w:val="24"/>
        </w:rPr>
      </w:pPr>
      <w:r>
        <w:rPr>
          <w:rFonts w:hint="eastAsia" w:ascii="宋体" w:hAnsi="宋体"/>
          <w:bCs/>
          <w:sz w:val="24"/>
        </w:rPr>
        <w:t>合格论证人的资格要求：</w:t>
      </w:r>
    </w:p>
    <w:p w14:paraId="348D6F69">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30F7D760">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2F0E5B9D">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54DD526D">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49B008DF">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015134B9">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23604B4A">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4035248F">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51C85CA6">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0E97349C">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59C9F227">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335BA5D3">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5DF55975">
      <w:pPr>
        <w:pStyle w:val="23"/>
        <w:widowControl/>
        <w:shd w:val="clear" w:color="auto" w:fill="FFFFFF"/>
        <w:spacing w:beforeAutospacing="0" w:after="120" w:afterAutospacing="0" w:line="360" w:lineRule="atLeast"/>
        <w:ind w:left="1197" w:leftChars="570"/>
        <w:rPr>
          <w:rFonts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2875B41F">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468BE234">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7F71AFAA">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476D179A">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3F2F38C0">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11A0F45F">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66CB9316">
      <w:pPr>
        <w:pStyle w:val="26"/>
        <w:ind w:firstLine="480"/>
        <w:rPr>
          <w:rFonts w:ascii="宋体"/>
          <w:sz w:val="24"/>
        </w:rPr>
      </w:pPr>
    </w:p>
    <w:p w14:paraId="2AD6A423">
      <w:pPr>
        <w:pStyle w:val="26"/>
        <w:ind w:firstLine="480"/>
        <w:rPr>
          <w:rFonts w:ascii="宋体"/>
          <w:sz w:val="24"/>
        </w:rPr>
      </w:pPr>
    </w:p>
    <w:p w14:paraId="076390D6">
      <w:pPr>
        <w:pStyle w:val="26"/>
        <w:ind w:firstLine="602"/>
        <w:jc w:val="center"/>
        <w:rPr>
          <w:rFonts w:ascii="宋体"/>
          <w:b/>
          <w:bCs/>
          <w:sz w:val="30"/>
          <w:szCs w:val="30"/>
        </w:rPr>
      </w:pPr>
      <w:r>
        <w:rPr>
          <w:rFonts w:hint="eastAsia" w:ascii="宋体"/>
          <w:b/>
          <w:bCs/>
          <w:sz w:val="30"/>
          <w:szCs w:val="30"/>
        </w:rPr>
        <w:t>B采购文件</w:t>
      </w:r>
    </w:p>
    <w:p w14:paraId="11B8051D">
      <w:pPr>
        <w:pStyle w:val="26"/>
        <w:numPr>
          <w:ilvl w:val="0"/>
          <w:numId w:val="5"/>
        </w:numPr>
        <w:ind w:firstLine="480"/>
        <w:rPr>
          <w:rFonts w:ascii="宋体"/>
          <w:sz w:val="24"/>
        </w:rPr>
      </w:pPr>
      <w:r>
        <w:rPr>
          <w:rFonts w:hint="eastAsia" w:ascii="宋体"/>
          <w:sz w:val="24"/>
        </w:rPr>
        <w:t>采购文件</w:t>
      </w:r>
    </w:p>
    <w:p w14:paraId="5BA8D2D2">
      <w:pPr>
        <w:pStyle w:val="26"/>
        <w:ind w:left="840" w:leftChars="400" w:firstLine="480" w:firstLineChars="0"/>
        <w:rPr>
          <w:rFonts w:ascii="宋体"/>
          <w:sz w:val="24"/>
        </w:rPr>
      </w:pPr>
      <w:r>
        <w:rPr>
          <w:rFonts w:hint="eastAsia" w:ascii="宋体"/>
          <w:sz w:val="24"/>
        </w:rPr>
        <w:t>5.1采购文件由下述所列内容组成：</w:t>
      </w:r>
    </w:p>
    <w:p w14:paraId="76AC9F59">
      <w:pPr>
        <w:pStyle w:val="26"/>
        <w:numPr>
          <w:ilvl w:val="0"/>
          <w:numId w:val="6"/>
        </w:numPr>
        <w:ind w:left="1680" w:leftChars="0" w:firstLineChars="0"/>
        <w:rPr>
          <w:rFonts w:ascii="宋体"/>
          <w:sz w:val="24"/>
        </w:rPr>
      </w:pPr>
      <w:r>
        <w:rPr>
          <w:rFonts w:hint="eastAsia" w:ascii="宋体"/>
          <w:sz w:val="24"/>
        </w:rPr>
        <w:t>响应人须知</w:t>
      </w:r>
    </w:p>
    <w:p w14:paraId="576A0A19">
      <w:pPr>
        <w:pStyle w:val="26"/>
        <w:numPr>
          <w:ilvl w:val="0"/>
          <w:numId w:val="6"/>
        </w:numPr>
        <w:ind w:left="1680" w:leftChars="0" w:firstLineChars="0"/>
        <w:rPr>
          <w:rFonts w:ascii="宋体"/>
          <w:sz w:val="24"/>
        </w:rPr>
      </w:pPr>
      <w:r>
        <w:rPr>
          <w:rFonts w:hint="eastAsia" w:ascii="宋体"/>
          <w:sz w:val="24"/>
        </w:rPr>
        <w:t>服务需求书</w:t>
      </w:r>
    </w:p>
    <w:p w14:paraId="1A124929">
      <w:pPr>
        <w:pStyle w:val="26"/>
        <w:numPr>
          <w:ilvl w:val="0"/>
          <w:numId w:val="6"/>
        </w:numPr>
        <w:ind w:left="1680" w:leftChars="0" w:firstLineChars="0"/>
        <w:rPr>
          <w:rFonts w:ascii="宋体"/>
          <w:sz w:val="24"/>
        </w:rPr>
      </w:pPr>
      <w:r>
        <w:rPr>
          <w:rFonts w:hint="eastAsia" w:ascii="宋体"/>
          <w:sz w:val="24"/>
        </w:rPr>
        <w:t>拟签订的合同文本</w:t>
      </w:r>
    </w:p>
    <w:p w14:paraId="4A8D68D5">
      <w:pPr>
        <w:pStyle w:val="26"/>
        <w:numPr>
          <w:ilvl w:val="0"/>
          <w:numId w:val="6"/>
        </w:numPr>
        <w:ind w:left="1680" w:leftChars="0" w:firstLineChars="0"/>
        <w:rPr>
          <w:rFonts w:ascii="宋体"/>
          <w:sz w:val="24"/>
        </w:rPr>
      </w:pPr>
      <w:r>
        <w:rPr>
          <w:rFonts w:hint="eastAsia" w:ascii="宋体"/>
          <w:sz w:val="24"/>
        </w:rPr>
        <w:t>附件</w:t>
      </w:r>
    </w:p>
    <w:p w14:paraId="2DFBA366">
      <w:pPr>
        <w:pStyle w:val="26"/>
        <w:numPr>
          <w:ilvl w:val="0"/>
          <w:numId w:val="6"/>
        </w:numPr>
        <w:ind w:left="1680" w:leftChars="0" w:firstLineChars="0"/>
        <w:rPr>
          <w:rFonts w:ascii="宋体"/>
          <w:sz w:val="24"/>
        </w:rPr>
      </w:pPr>
      <w:r>
        <w:rPr>
          <w:rFonts w:hint="eastAsia" w:ascii="宋体"/>
          <w:sz w:val="24"/>
        </w:rPr>
        <w:t>评审细则</w:t>
      </w:r>
    </w:p>
    <w:p w14:paraId="29B848BD">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1DCB357B">
      <w:pPr>
        <w:pStyle w:val="26"/>
        <w:numPr>
          <w:ilvl w:val="0"/>
          <w:numId w:val="5"/>
        </w:numPr>
        <w:ind w:firstLine="480"/>
        <w:rPr>
          <w:rFonts w:ascii="宋体"/>
          <w:sz w:val="24"/>
        </w:rPr>
      </w:pPr>
      <w:r>
        <w:rPr>
          <w:rFonts w:hint="eastAsia" w:ascii="宋体"/>
          <w:sz w:val="24"/>
        </w:rPr>
        <w:t>采购文件的修改</w:t>
      </w:r>
    </w:p>
    <w:p w14:paraId="17CF79B7">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0D7D26A5">
      <w:pPr>
        <w:pStyle w:val="26"/>
        <w:ind w:left="960" w:leftChars="0" w:hanging="960" w:hangingChars="400"/>
        <w:rPr>
          <w:rFonts w:ascii="宋体"/>
          <w:sz w:val="24"/>
          <w:szCs w:val="20"/>
        </w:rPr>
      </w:pPr>
      <w:r>
        <w:rPr>
          <w:rFonts w:hint="eastAsia" w:ascii="宋体"/>
          <w:sz w:val="24"/>
          <w:szCs w:val="20"/>
        </w:rPr>
        <w:t xml:space="preserve">           6.2对采购文件的修改，将以电子邮件方式通知已报名的响应人，补充文件将作为采购文件的组成部分，对所有响应人具有同等约束力。</w:t>
      </w:r>
    </w:p>
    <w:p w14:paraId="15402E28">
      <w:pPr>
        <w:pStyle w:val="26"/>
        <w:ind w:left="960" w:leftChars="0" w:hanging="960" w:hangingChars="400"/>
        <w:rPr>
          <w:rFonts w:ascii="宋体"/>
          <w:sz w:val="24"/>
          <w:szCs w:val="20"/>
        </w:rPr>
      </w:pPr>
      <w:r>
        <w:rPr>
          <w:rFonts w:hint="eastAsia" w:ascii="宋体"/>
          <w:sz w:val="24"/>
          <w:szCs w:val="20"/>
        </w:rPr>
        <w:t xml:space="preserve">           6.3为使响应人有足够的时间按采购文件的修改要求修正论证文件，采购人可酌情推迟论证的截止日期，并将此变更通知已报名的每一响应人。</w:t>
      </w:r>
    </w:p>
    <w:p w14:paraId="5A37806F">
      <w:pPr>
        <w:pStyle w:val="26"/>
        <w:ind w:left="960" w:leftChars="0" w:hanging="960" w:hangingChars="400"/>
        <w:rPr>
          <w:rFonts w:ascii="宋体"/>
          <w:sz w:val="24"/>
        </w:rPr>
      </w:pPr>
    </w:p>
    <w:p w14:paraId="1E46FC3E">
      <w:pPr>
        <w:pStyle w:val="26"/>
        <w:ind w:left="1205" w:leftChars="0" w:hanging="1205" w:hangingChars="400"/>
        <w:jc w:val="center"/>
        <w:rPr>
          <w:rFonts w:ascii="宋体"/>
          <w:b/>
          <w:bCs/>
          <w:sz w:val="30"/>
          <w:szCs w:val="30"/>
        </w:rPr>
      </w:pPr>
      <w:r>
        <w:rPr>
          <w:rFonts w:hint="eastAsia" w:ascii="宋体"/>
          <w:b/>
          <w:bCs/>
          <w:sz w:val="30"/>
          <w:szCs w:val="30"/>
        </w:rPr>
        <w:t>C响应文件</w:t>
      </w:r>
    </w:p>
    <w:p w14:paraId="244788CD">
      <w:pPr>
        <w:pStyle w:val="26"/>
        <w:numPr>
          <w:ilvl w:val="0"/>
          <w:numId w:val="5"/>
        </w:numPr>
        <w:ind w:firstLine="480"/>
        <w:rPr>
          <w:rFonts w:ascii="宋体"/>
          <w:sz w:val="24"/>
        </w:rPr>
      </w:pPr>
      <w:r>
        <w:rPr>
          <w:rFonts w:hint="eastAsia" w:ascii="宋体"/>
          <w:sz w:val="24"/>
        </w:rPr>
        <w:t>响应文件的组成</w:t>
      </w:r>
    </w:p>
    <w:p w14:paraId="6757F5BD">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347B48A0">
      <w:pPr>
        <w:pStyle w:val="26"/>
        <w:ind w:firstLine="482"/>
        <w:rPr>
          <w:rFonts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789DEA5A">
      <w:pPr>
        <w:pStyle w:val="26"/>
        <w:numPr>
          <w:ilvl w:val="0"/>
          <w:numId w:val="5"/>
        </w:numPr>
        <w:ind w:firstLine="480"/>
        <w:rPr>
          <w:rFonts w:ascii="宋体" w:hAnsi="宋体"/>
          <w:sz w:val="24"/>
        </w:rPr>
      </w:pPr>
      <w:r>
        <w:rPr>
          <w:rFonts w:hint="eastAsia" w:ascii="宋体" w:hAnsi="宋体"/>
          <w:sz w:val="24"/>
        </w:rPr>
        <w:t>响应文件的编制</w:t>
      </w:r>
    </w:p>
    <w:p w14:paraId="5D3482CB">
      <w:pPr>
        <w:pStyle w:val="26"/>
        <w:ind w:left="1320" w:leftChars="400" w:hanging="480" w:hangingChars="200"/>
        <w:rPr>
          <w:rFonts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428A8894">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57A65FA5">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24B01A87">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12F681DD">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15E0C671">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6B2997A4">
      <w:pPr>
        <w:pStyle w:val="23"/>
        <w:widowControl/>
        <w:shd w:val="clear" w:color="auto" w:fill="FFFFFF"/>
        <w:spacing w:beforeAutospacing="0" w:afterAutospacing="0" w:line="315" w:lineRule="atLeast"/>
        <w:ind w:left="1310" w:leftChars="624"/>
        <w:rPr>
          <w:rFonts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35AB706E">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0D04FD90">
      <w:pPr>
        <w:pStyle w:val="26"/>
        <w:ind w:firstLine="482"/>
        <w:rPr>
          <w:rFonts w:ascii="宋体"/>
          <w:b/>
          <w:sz w:val="24"/>
        </w:rPr>
      </w:pPr>
      <w:r>
        <w:rPr>
          <w:rFonts w:hint="eastAsia" w:ascii="宋体"/>
          <w:b/>
          <w:sz w:val="24"/>
        </w:rPr>
        <w:t xml:space="preserve">   （8）采购文件要求的其他资质文件。</w:t>
      </w:r>
    </w:p>
    <w:p w14:paraId="13802960">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36BFF3DC">
      <w:pPr>
        <w:pStyle w:val="26"/>
        <w:ind w:left="1381" w:leftChars="0" w:firstLine="0" w:firstLineChars="0"/>
        <w:rPr>
          <w:rFonts w:ascii="宋体"/>
          <w:b/>
          <w:sz w:val="24"/>
        </w:rPr>
      </w:pPr>
      <w:r>
        <w:rPr>
          <w:rFonts w:hint="eastAsia" w:ascii="宋体"/>
          <w:b/>
          <w:sz w:val="24"/>
        </w:rPr>
        <w:t>（1）资格证明文件即报名资料所有内容</w:t>
      </w:r>
    </w:p>
    <w:p w14:paraId="7CFB0A4C">
      <w:pPr>
        <w:pStyle w:val="26"/>
        <w:ind w:left="1381" w:leftChars="0" w:firstLine="0" w:firstLineChars="0"/>
        <w:rPr>
          <w:rFonts w:ascii="宋体"/>
          <w:b/>
          <w:sz w:val="24"/>
        </w:rPr>
      </w:pPr>
      <w:r>
        <w:rPr>
          <w:rFonts w:hint="eastAsia" w:ascii="宋体"/>
          <w:b/>
          <w:sz w:val="24"/>
        </w:rPr>
        <w:t>（2）报价函（格式见第四部分附件三）</w:t>
      </w:r>
    </w:p>
    <w:p w14:paraId="45C6FB79">
      <w:pPr>
        <w:pStyle w:val="26"/>
        <w:ind w:left="1381" w:leftChars="0" w:firstLine="0" w:firstLineChars="0"/>
        <w:rPr>
          <w:rFonts w:ascii="宋体"/>
          <w:b/>
          <w:sz w:val="24"/>
        </w:rPr>
      </w:pPr>
      <w:r>
        <w:rPr>
          <w:rFonts w:hint="eastAsia" w:ascii="宋体"/>
          <w:b/>
          <w:sz w:val="24"/>
        </w:rPr>
        <w:t>（3）报价一览表（格式见第四部分附件四）</w:t>
      </w:r>
    </w:p>
    <w:p w14:paraId="7DAA2027">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02A07826">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612E0692">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3DBEF4CB">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61C1F3D9">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68B4BF72">
      <w:pPr>
        <w:pStyle w:val="26"/>
        <w:ind w:left="1381" w:leftChars="0" w:firstLine="0" w:firstLineChars="0"/>
        <w:rPr>
          <w:rFonts w:ascii="宋体"/>
          <w:b/>
          <w:sz w:val="24"/>
        </w:rPr>
      </w:pPr>
      <w:r>
        <w:rPr>
          <w:rFonts w:ascii="宋体"/>
          <w:b/>
          <w:sz w:val="24"/>
        </w:rPr>
        <w:t>（9）</w:t>
      </w:r>
      <w:r>
        <w:rPr>
          <w:rFonts w:hint="eastAsia" w:ascii="宋体"/>
          <w:b/>
          <w:sz w:val="24"/>
        </w:rPr>
        <w:t>服务条款应答表（格式见第四部分附件九）</w:t>
      </w:r>
    </w:p>
    <w:p w14:paraId="79215CAA">
      <w:pPr>
        <w:spacing w:line="360" w:lineRule="auto"/>
        <w:ind w:firstLine="1446" w:firstLineChars="600"/>
        <w:rPr>
          <w:rFonts w:ascii="宋体" w:hAnsi="宋体" w:cs="宋体"/>
          <w:b/>
          <w:bCs/>
          <w:sz w:val="24"/>
        </w:rPr>
      </w:pPr>
      <w:r>
        <w:rPr>
          <w:rFonts w:hint="eastAsia" w:ascii="宋体" w:hAnsi="宋体" w:cs="宋体"/>
          <w:b/>
          <w:bCs/>
          <w:sz w:val="24"/>
        </w:rPr>
        <w:t xml:space="preserve">(10) 服务方案    </w:t>
      </w:r>
    </w:p>
    <w:p w14:paraId="0FECE750">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0E729DCA">
      <w:pPr>
        <w:pStyle w:val="26"/>
        <w:numPr>
          <w:ilvl w:val="0"/>
          <w:numId w:val="5"/>
        </w:numPr>
        <w:ind w:firstLine="480"/>
        <w:rPr>
          <w:rFonts w:ascii="宋体"/>
          <w:bCs/>
          <w:sz w:val="24"/>
        </w:rPr>
      </w:pPr>
      <w:r>
        <w:rPr>
          <w:rFonts w:hint="eastAsia" w:ascii="宋体"/>
          <w:bCs/>
          <w:sz w:val="24"/>
        </w:rPr>
        <w:t>论证报价</w:t>
      </w:r>
    </w:p>
    <w:p w14:paraId="5E1C0AEC">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74DBF6F1">
      <w:pPr>
        <w:pStyle w:val="26"/>
        <w:ind w:left="1260" w:leftChars="0" w:firstLine="0" w:firstLineChars="0"/>
        <w:rPr>
          <w:rFonts w:ascii="宋体" w:hAnsi="宋体" w:cs="宋体"/>
          <w:sz w:val="24"/>
        </w:rPr>
      </w:pPr>
      <w:r>
        <w:rPr>
          <w:rFonts w:hint="eastAsia" w:ascii="宋体" w:hAnsi="宋体" w:cs="宋体"/>
          <w:sz w:val="24"/>
        </w:rPr>
        <w:t>9.2所有项目均以人民币报价。</w:t>
      </w:r>
    </w:p>
    <w:p w14:paraId="359D7B61">
      <w:pPr>
        <w:pStyle w:val="26"/>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75930D94">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257CE2B3">
      <w:pPr>
        <w:pStyle w:val="26"/>
        <w:ind w:left="1260" w:leftChars="0" w:firstLine="0" w:firstLineChars="0"/>
        <w:rPr>
          <w:rFonts w:ascii="宋体"/>
          <w:sz w:val="24"/>
        </w:rPr>
      </w:pPr>
    </w:p>
    <w:p w14:paraId="4311B14A">
      <w:pPr>
        <w:pStyle w:val="26"/>
        <w:ind w:left="1260" w:leftChars="0" w:firstLine="0" w:firstLineChars="0"/>
        <w:jc w:val="center"/>
        <w:rPr>
          <w:rFonts w:ascii="宋体" w:hAnsi="宋体"/>
          <w:b/>
          <w:bCs/>
          <w:sz w:val="36"/>
          <w:szCs w:val="36"/>
        </w:rPr>
      </w:pPr>
      <w:r>
        <w:rPr>
          <w:rFonts w:hint="eastAsia" w:ascii="宋体" w:hAnsi="宋体"/>
          <w:b/>
          <w:bCs/>
          <w:sz w:val="36"/>
          <w:szCs w:val="36"/>
        </w:rPr>
        <w:t>D评审</w:t>
      </w:r>
    </w:p>
    <w:p w14:paraId="18CB2992">
      <w:pPr>
        <w:pStyle w:val="26"/>
        <w:numPr>
          <w:ilvl w:val="0"/>
          <w:numId w:val="5"/>
        </w:numPr>
        <w:ind w:firstLine="480"/>
        <w:jc w:val="left"/>
        <w:rPr>
          <w:rFonts w:ascii="宋体" w:hAnsi="宋体"/>
          <w:sz w:val="24"/>
        </w:rPr>
      </w:pPr>
      <w:r>
        <w:rPr>
          <w:rFonts w:hint="eastAsia" w:ascii="宋体" w:hAnsi="宋体"/>
          <w:sz w:val="24"/>
        </w:rPr>
        <w:t>评审</w:t>
      </w:r>
    </w:p>
    <w:p w14:paraId="450676AB">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2403538B">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2EA8B1AC">
      <w:pPr>
        <w:pStyle w:val="26"/>
        <w:ind w:left="840" w:leftChars="400" w:firstLine="0" w:firstLineChars="0"/>
        <w:jc w:val="left"/>
        <w:rPr>
          <w:rFonts w:ascii="宋体"/>
          <w:sz w:val="24"/>
        </w:rPr>
      </w:pPr>
      <w:r>
        <w:rPr>
          <w:rFonts w:hint="eastAsia" w:ascii="宋体"/>
          <w:sz w:val="24"/>
        </w:rPr>
        <w:t xml:space="preserve">   10.3评标原则及办法</w:t>
      </w:r>
    </w:p>
    <w:p w14:paraId="18B4D37A">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6C21A770">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622175C3">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38AFA045">
      <w:pPr>
        <w:spacing w:line="360" w:lineRule="auto"/>
        <w:ind w:firstLine="720" w:firstLineChars="300"/>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44A43628">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6ABE741F">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2779B011">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026437BF">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59BB5D5F">
      <w:pPr>
        <w:spacing w:line="360" w:lineRule="auto"/>
        <w:ind w:firstLine="422" w:firstLineChars="175"/>
        <w:rPr>
          <w:rFonts w:ascii="宋体"/>
          <w:b/>
          <w:sz w:val="24"/>
        </w:rPr>
      </w:pPr>
      <w:r>
        <w:rPr>
          <w:rFonts w:hint="eastAsia" w:ascii="宋体"/>
          <w:b/>
          <w:sz w:val="24"/>
        </w:rPr>
        <w:t>（4）提供无效的营业执照或法人证书的</w:t>
      </w:r>
    </w:p>
    <w:p w14:paraId="03F9EE31">
      <w:pPr>
        <w:spacing w:line="360" w:lineRule="auto"/>
        <w:ind w:firstLine="422" w:firstLineChars="175"/>
        <w:rPr>
          <w:rFonts w:ascii="宋体"/>
          <w:b/>
          <w:sz w:val="24"/>
        </w:rPr>
      </w:pPr>
      <w:r>
        <w:rPr>
          <w:rFonts w:hint="eastAsia" w:ascii="宋体"/>
          <w:b/>
          <w:sz w:val="24"/>
        </w:rPr>
        <w:t>（5）未按采购文件要求提供供应商资格声明书的（格式见第四部分附件五）</w:t>
      </w:r>
    </w:p>
    <w:p w14:paraId="26338EC4">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22F8BB30">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3B31ECF1">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055B9E7D">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26DBD915">
      <w:pPr>
        <w:widowControl/>
        <w:spacing w:line="360" w:lineRule="auto"/>
        <w:ind w:firstLine="422" w:firstLineChars="175"/>
        <w:jc w:val="left"/>
        <w:rPr>
          <w:rFonts w:ascii="宋体" w:hAnsi="宋体" w:cs="宋体"/>
          <w:b/>
          <w:sz w:val="24"/>
          <w:szCs w:val="24"/>
        </w:rPr>
      </w:pPr>
      <w:r>
        <w:rPr>
          <w:rFonts w:hint="eastAsia" w:ascii="宋体"/>
          <w:b/>
          <w:sz w:val="24"/>
        </w:rPr>
        <w:t>（2）响应报价超过项目预算或超过最高限价的</w:t>
      </w:r>
    </w:p>
    <w:p w14:paraId="5B23D2E5">
      <w:pPr>
        <w:spacing w:line="360" w:lineRule="auto"/>
        <w:ind w:firstLine="422" w:firstLineChars="175"/>
        <w:rPr>
          <w:rFonts w:ascii="宋体"/>
          <w:b/>
          <w:sz w:val="24"/>
        </w:rPr>
      </w:pPr>
      <w:r>
        <w:rPr>
          <w:rFonts w:hint="eastAsia" w:ascii="宋体"/>
          <w:b/>
          <w:sz w:val="24"/>
        </w:rPr>
        <w:t>（3）存在串通投标情形的</w:t>
      </w:r>
    </w:p>
    <w:p w14:paraId="085E73FC">
      <w:pPr>
        <w:spacing w:line="360" w:lineRule="auto"/>
        <w:ind w:firstLine="422" w:firstLineChars="175"/>
        <w:rPr>
          <w:rFonts w:ascii="宋体"/>
          <w:b/>
          <w:sz w:val="24"/>
        </w:rPr>
      </w:pPr>
      <w:r>
        <w:rPr>
          <w:rFonts w:hint="eastAsia" w:ascii="宋体"/>
          <w:b/>
          <w:sz w:val="24"/>
        </w:rPr>
        <w:t>（4）提供的相关证书等不在有效期内的</w:t>
      </w:r>
    </w:p>
    <w:p w14:paraId="2A944764">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15838DB0">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72DF61EA">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7EBC4B0F">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189884CC">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2E2B53D0">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4F3B13E6">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28774762">
      <w:pPr>
        <w:spacing w:line="360" w:lineRule="auto"/>
        <w:ind w:firstLine="960" w:firstLineChars="400"/>
        <w:rPr>
          <w:rFonts w:ascii="宋体"/>
          <w:sz w:val="24"/>
        </w:rPr>
      </w:pPr>
      <w:r>
        <w:rPr>
          <w:rFonts w:hint="eastAsia" w:ascii="宋体"/>
          <w:sz w:val="24"/>
        </w:rPr>
        <w:t>10.4在采购中，出现下列情形之一的，应予废标：</w:t>
      </w:r>
    </w:p>
    <w:p w14:paraId="02FA3281">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53701F4E">
      <w:pPr>
        <w:spacing w:line="360" w:lineRule="auto"/>
        <w:ind w:firstLine="120" w:firstLineChars="50"/>
        <w:rPr>
          <w:rFonts w:ascii="宋体"/>
          <w:sz w:val="24"/>
        </w:rPr>
      </w:pPr>
      <w:r>
        <w:rPr>
          <w:rFonts w:hint="eastAsia" w:ascii="宋体"/>
          <w:sz w:val="24"/>
        </w:rPr>
        <w:t>（2）出现影响采购公正的违法、违规行为的；</w:t>
      </w:r>
    </w:p>
    <w:p w14:paraId="0F6DE622">
      <w:pPr>
        <w:spacing w:line="360" w:lineRule="auto"/>
        <w:ind w:firstLine="120" w:firstLineChars="50"/>
        <w:rPr>
          <w:rFonts w:ascii="宋体"/>
          <w:sz w:val="24"/>
        </w:rPr>
      </w:pPr>
      <w:r>
        <w:rPr>
          <w:rFonts w:hint="eastAsia" w:ascii="宋体"/>
          <w:sz w:val="24"/>
        </w:rPr>
        <w:t>（3）响应人的报价均超过了采购预算，采购人不能支付的；</w:t>
      </w:r>
    </w:p>
    <w:p w14:paraId="062254F6">
      <w:pPr>
        <w:spacing w:line="360" w:lineRule="auto"/>
        <w:ind w:firstLine="120" w:firstLineChars="50"/>
        <w:rPr>
          <w:rFonts w:ascii="宋体"/>
          <w:sz w:val="24"/>
        </w:rPr>
      </w:pPr>
      <w:r>
        <w:rPr>
          <w:rFonts w:hint="eastAsia" w:ascii="宋体"/>
          <w:sz w:val="24"/>
        </w:rPr>
        <w:t>（4）因重大变故，采购任务取消的。</w:t>
      </w:r>
    </w:p>
    <w:p w14:paraId="6E221417">
      <w:pPr>
        <w:pStyle w:val="61"/>
        <w:numPr>
          <w:ilvl w:val="0"/>
          <w:numId w:val="0"/>
        </w:numPr>
        <w:ind w:left="643" w:leftChars="306" w:firstLine="33" w:firstLineChars="14"/>
      </w:pPr>
      <w:r>
        <w:rPr>
          <w:rFonts w:hint="eastAsia"/>
        </w:rPr>
        <w:t>10.5响应人被视为串标</w:t>
      </w:r>
    </w:p>
    <w:p w14:paraId="2C69B56F">
      <w:pPr>
        <w:pStyle w:val="61"/>
        <w:numPr>
          <w:ilvl w:val="0"/>
          <w:numId w:val="0"/>
        </w:numPr>
        <w:ind w:left="643" w:leftChars="306" w:firstLine="33" w:firstLineChars="14"/>
      </w:pPr>
      <w:r>
        <w:rPr>
          <w:rFonts w:hint="eastAsia"/>
        </w:rPr>
        <w:t>10.5.1响应人有下列情形之一的，视为响应人串通投标，其投标无效：</w:t>
      </w:r>
    </w:p>
    <w:p w14:paraId="6E623F8F">
      <w:pPr>
        <w:spacing w:line="360" w:lineRule="auto"/>
        <w:ind w:firstLine="120" w:firstLineChars="50"/>
        <w:rPr>
          <w:rFonts w:ascii="宋体"/>
          <w:sz w:val="24"/>
        </w:rPr>
      </w:pPr>
      <w:r>
        <w:rPr>
          <w:rFonts w:hint="eastAsia" w:ascii="宋体"/>
          <w:sz w:val="24"/>
        </w:rPr>
        <w:t>（1）不同响应人的响应文件由同一单位或者个人编制；</w:t>
      </w:r>
    </w:p>
    <w:p w14:paraId="4A2D41CA">
      <w:pPr>
        <w:spacing w:line="360" w:lineRule="auto"/>
        <w:ind w:firstLine="120" w:firstLineChars="50"/>
        <w:rPr>
          <w:rFonts w:ascii="宋体"/>
          <w:sz w:val="24"/>
        </w:rPr>
      </w:pPr>
      <w:r>
        <w:rPr>
          <w:rFonts w:hint="eastAsia" w:ascii="宋体"/>
          <w:sz w:val="24"/>
        </w:rPr>
        <w:t>（2）不同响应人委托同一单位或者个人办理投标事宜；</w:t>
      </w:r>
    </w:p>
    <w:p w14:paraId="4541D180">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090F03A7">
      <w:pPr>
        <w:spacing w:line="360" w:lineRule="auto"/>
        <w:ind w:firstLine="120" w:firstLineChars="50"/>
        <w:rPr>
          <w:rFonts w:ascii="宋体"/>
          <w:sz w:val="24"/>
        </w:rPr>
      </w:pPr>
      <w:r>
        <w:rPr>
          <w:rFonts w:hint="eastAsia" w:ascii="宋体"/>
          <w:sz w:val="24"/>
        </w:rPr>
        <w:t>（4）不同响应人的响应文件异常一致或者报价呈规律性差异；</w:t>
      </w:r>
    </w:p>
    <w:p w14:paraId="200BE394">
      <w:pPr>
        <w:spacing w:line="360" w:lineRule="auto"/>
        <w:ind w:firstLine="120" w:firstLineChars="50"/>
        <w:rPr>
          <w:rFonts w:ascii="宋体" w:hAnsi="宋体"/>
        </w:rPr>
      </w:pPr>
      <w:r>
        <w:rPr>
          <w:rFonts w:hint="eastAsia" w:ascii="宋体"/>
          <w:sz w:val="24"/>
        </w:rPr>
        <w:t>（5）不同响应人的响应文件相互混装。</w:t>
      </w:r>
    </w:p>
    <w:p w14:paraId="03266A4E">
      <w:pPr>
        <w:pStyle w:val="26"/>
        <w:ind w:left="840" w:leftChars="400" w:firstLine="0" w:firstLineChars="0"/>
        <w:jc w:val="left"/>
        <w:rPr>
          <w:rFonts w:ascii="宋体" w:hAnsi="宋体"/>
          <w:sz w:val="24"/>
        </w:rPr>
      </w:pPr>
    </w:p>
    <w:p w14:paraId="73C8D506">
      <w:pPr>
        <w:pStyle w:val="26"/>
        <w:ind w:left="1260" w:leftChars="0" w:firstLine="0" w:firstLineChars="0"/>
        <w:rPr>
          <w:rFonts w:ascii="宋体" w:hAnsi="宋体"/>
          <w:b/>
          <w:bCs/>
          <w:sz w:val="36"/>
          <w:szCs w:val="36"/>
        </w:rPr>
      </w:pPr>
      <w:r>
        <w:rPr>
          <w:rFonts w:hint="eastAsia" w:ascii="宋体" w:hAnsi="宋体"/>
          <w:sz w:val="24"/>
        </w:rPr>
        <w:t xml:space="preserve">             </w:t>
      </w:r>
      <w:r>
        <w:rPr>
          <w:rFonts w:hint="eastAsia" w:ascii="宋体" w:hAnsi="宋体"/>
          <w:b/>
          <w:bCs/>
          <w:sz w:val="36"/>
          <w:szCs w:val="36"/>
        </w:rPr>
        <w:t xml:space="preserve"> E 确定成交候选供应商</w:t>
      </w:r>
    </w:p>
    <w:p w14:paraId="7AA14B34">
      <w:pPr>
        <w:pStyle w:val="26"/>
        <w:ind w:left="0" w:leftChars="0" w:firstLine="1200" w:firstLineChars="500"/>
        <w:rPr>
          <w:rFonts w:ascii="宋体" w:hAnsi="宋体"/>
          <w:sz w:val="24"/>
        </w:rPr>
      </w:pPr>
      <w:r>
        <w:rPr>
          <w:rFonts w:hint="eastAsia" w:ascii="宋体" w:hAnsi="宋体"/>
          <w:sz w:val="24"/>
        </w:rPr>
        <w:t>11.1采购人根据评审委员会推荐的成交供应商候选人，确定排名第一为成交供应商。</w:t>
      </w:r>
    </w:p>
    <w:p w14:paraId="18CEFCC2">
      <w:pPr>
        <w:pStyle w:val="26"/>
        <w:ind w:left="1197" w:leftChars="570" w:firstLine="0" w:firstLineChars="0"/>
        <w:rPr>
          <w:rFonts w:ascii="宋体" w:hAnsi="宋体"/>
          <w:sz w:val="24"/>
        </w:rPr>
      </w:pPr>
      <w:r>
        <w:rPr>
          <w:rFonts w:hint="eastAsia" w:ascii="宋体" w:hAnsi="宋体"/>
          <w:sz w:val="24"/>
        </w:rPr>
        <w:t>11.2评审结束后，采购人将以邮件方式通知成交供应商，并发放论证结果告知书。</w:t>
      </w:r>
    </w:p>
    <w:p w14:paraId="57C3637C">
      <w:pPr>
        <w:pStyle w:val="26"/>
        <w:ind w:left="0" w:leftChars="0" w:firstLine="1200" w:firstLineChars="500"/>
        <w:rPr>
          <w:rFonts w:ascii="宋体" w:hAnsi="宋体"/>
          <w:sz w:val="24"/>
        </w:rPr>
      </w:pPr>
      <w:r>
        <w:rPr>
          <w:rFonts w:hint="eastAsia" w:ascii="宋体" w:hAnsi="宋体"/>
          <w:sz w:val="24"/>
        </w:rPr>
        <w:t>11.3采购人不对响应人未成交供应商原因做出解释。</w:t>
      </w:r>
    </w:p>
    <w:p w14:paraId="7DCC710C">
      <w:pPr>
        <w:pStyle w:val="26"/>
        <w:ind w:left="0" w:leftChars="0" w:firstLine="1200" w:firstLineChars="500"/>
        <w:rPr>
          <w:rFonts w:ascii="宋体" w:hAnsi="宋体"/>
          <w:sz w:val="24"/>
        </w:rPr>
      </w:pPr>
      <w:r>
        <w:rPr>
          <w:rFonts w:hint="eastAsia" w:ascii="宋体" w:hAnsi="宋体"/>
          <w:sz w:val="24"/>
        </w:rPr>
        <w:t>11.4成交供应商应按论证结果告知书中规定的时间与采购人签订合同。</w:t>
      </w:r>
    </w:p>
    <w:p w14:paraId="2719D3DE">
      <w:pPr>
        <w:pStyle w:val="26"/>
        <w:ind w:left="1260" w:leftChars="0" w:firstLine="0" w:firstLineChars="0"/>
        <w:rPr>
          <w:rFonts w:ascii="宋体"/>
          <w:sz w:val="24"/>
        </w:rPr>
      </w:pPr>
    </w:p>
    <w:p w14:paraId="24E1C4E4">
      <w:pPr>
        <w:pStyle w:val="26"/>
        <w:ind w:left="0" w:leftChars="0" w:firstLine="0" w:firstLineChars="0"/>
        <w:rPr>
          <w:rFonts w:ascii="宋体"/>
          <w:sz w:val="24"/>
        </w:rPr>
      </w:pPr>
    </w:p>
    <w:p w14:paraId="044B1F1F">
      <w:pPr>
        <w:pStyle w:val="26"/>
        <w:ind w:left="0" w:leftChars="0" w:firstLine="0" w:firstLineChars="0"/>
        <w:rPr>
          <w:rFonts w:ascii="宋体"/>
          <w:sz w:val="24"/>
        </w:rPr>
      </w:pPr>
    </w:p>
    <w:p w14:paraId="50F595E4">
      <w:pPr>
        <w:pStyle w:val="26"/>
        <w:ind w:left="0" w:leftChars="0" w:firstLine="0" w:firstLineChars="0"/>
        <w:rPr>
          <w:rFonts w:ascii="宋体"/>
          <w:sz w:val="24"/>
        </w:rPr>
      </w:pPr>
    </w:p>
    <w:p w14:paraId="78843D6B">
      <w:pPr>
        <w:pStyle w:val="26"/>
        <w:ind w:left="0" w:leftChars="0" w:firstLine="0" w:firstLineChars="0"/>
        <w:rPr>
          <w:rFonts w:ascii="宋体"/>
          <w:sz w:val="24"/>
        </w:rPr>
      </w:pPr>
    </w:p>
    <w:p w14:paraId="043519CD">
      <w:pPr>
        <w:pStyle w:val="26"/>
        <w:ind w:left="0" w:leftChars="0" w:firstLine="0" w:firstLineChars="0"/>
        <w:rPr>
          <w:rFonts w:ascii="宋体"/>
          <w:sz w:val="24"/>
        </w:rPr>
      </w:pPr>
    </w:p>
    <w:p w14:paraId="042B7E8E">
      <w:pPr>
        <w:pStyle w:val="26"/>
        <w:ind w:left="0" w:leftChars="0" w:firstLine="0" w:firstLineChars="0"/>
        <w:rPr>
          <w:rFonts w:ascii="宋体"/>
          <w:sz w:val="24"/>
        </w:rPr>
      </w:pPr>
    </w:p>
    <w:p w14:paraId="13A2C017">
      <w:pPr>
        <w:pStyle w:val="26"/>
        <w:ind w:left="0" w:leftChars="0" w:firstLine="0" w:firstLineChars="0"/>
        <w:rPr>
          <w:rFonts w:ascii="宋体"/>
          <w:sz w:val="24"/>
        </w:rPr>
      </w:pPr>
    </w:p>
    <w:p w14:paraId="65AFF62A">
      <w:pPr>
        <w:pStyle w:val="26"/>
        <w:ind w:left="0" w:leftChars="0" w:firstLine="0" w:firstLineChars="0"/>
        <w:rPr>
          <w:rFonts w:ascii="宋体"/>
          <w:sz w:val="24"/>
        </w:rPr>
      </w:pPr>
    </w:p>
    <w:p w14:paraId="2A8391DC">
      <w:pPr>
        <w:pStyle w:val="26"/>
        <w:ind w:left="0" w:leftChars="0" w:firstLine="0" w:firstLineChars="0"/>
        <w:rPr>
          <w:rFonts w:ascii="宋体"/>
          <w:sz w:val="24"/>
        </w:rPr>
      </w:pPr>
    </w:p>
    <w:p w14:paraId="147F6E48">
      <w:pPr>
        <w:pStyle w:val="26"/>
        <w:ind w:left="0" w:leftChars="0" w:firstLine="0" w:firstLineChars="0"/>
        <w:rPr>
          <w:rFonts w:ascii="宋体"/>
          <w:sz w:val="24"/>
        </w:rPr>
      </w:pPr>
    </w:p>
    <w:p w14:paraId="77B66CF6">
      <w:pPr>
        <w:pStyle w:val="26"/>
        <w:ind w:left="0" w:leftChars="0" w:firstLine="0" w:firstLineChars="0"/>
        <w:rPr>
          <w:rFonts w:ascii="宋体"/>
          <w:sz w:val="24"/>
        </w:rPr>
      </w:pPr>
    </w:p>
    <w:p w14:paraId="2C7F0B09">
      <w:pPr>
        <w:pStyle w:val="26"/>
        <w:ind w:left="0" w:leftChars="0" w:firstLine="0" w:firstLineChars="0"/>
        <w:rPr>
          <w:rFonts w:ascii="宋体"/>
          <w:sz w:val="24"/>
        </w:rPr>
      </w:pPr>
    </w:p>
    <w:p w14:paraId="20D720E1">
      <w:pPr>
        <w:pStyle w:val="26"/>
        <w:ind w:left="0" w:leftChars="0" w:firstLine="0" w:firstLineChars="0"/>
        <w:rPr>
          <w:rFonts w:ascii="宋体"/>
          <w:sz w:val="24"/>
        </w:rPr>
      </w:pPr>
    </w:p>
    <w:p w14:paraId="78150B96">
      <w:pPr>
        <w:pStyle w:val="26"/>
        <w:ind w:left="0" w:leftChars="0" w:firstLine="0" w:firstLineChars="0"/>
        <w:rPr>
          <w:rFonts w:ascii="宋体"/>
          <w:sz w:val="24"/>
        </w:rPr>
      </w:pPr>
    </w:p>
    <w:p w14:paraId="5A6A6E01">
      <w:pPr>
        <w:pStyle w:val="26"/>
        <w:ind w:left="0" w:leftChars="0" w:firstLine="0" w:firstLineChars="0"/>
        <w:rPr>
          <w:rFonts w:ascii="宋体"/>
          <w:sz w:val="24"/>
        </w:rPr>
      </w:pPr>
    </w:p>
    <w:p w14:paraId="400B0796">
      <w:pPr>
        <w:pStyle w:val="26"/>
        <w:ind w:left="0" w:leftChars="0" w:firstLine="0" w:firstLineChars="0"/>
        <w:rPr>
          <w:rFonts w:ascii="宋体"/>
          <w:sz w:val="24"/>
        </w:rPr>
      </w:pPr>
    </w:p>
    <w:p w14:paraId="022EDC90">
      <w:pPr>
        <w:pStyle w:val="26"/>
        <w:ind w:left="0" w:leftChars="0" w:firstLine="0" w:firstLineChars="0"/>
        <w:rPr>
          <w:rFonts w:ascii="宋体"/>
          <w:sz w:val="24"/>
        </w:rPr>
      </w:pPr>
    </w:p>
    <w:p w14:paraId="5AD03656">
      <w:pPr>
        <w:pStyle w:val="26"/>
        <w:ind w:left="0" w:leftChars="0" w:firstLine="0" w:firstLineChars="0"/>
        <w:rPr>
          <w:rFonts w:ascii="宋体"/>
          <w:sz w:val="24"/>
        </w:rPr>
      </w:pPr>
    </w:p>
    <w:p w14:paraId="00C159AA">
      <w:pPr>
        <w:pStyle w:val="26"/>
        <w:ind w:left="0" w:leftChars="0" w:firstLine="0" w:firstLineChars="0"/>
        <w:rPr>
          <w:rFonts w:ascii="宋体"/>
          <w:sz w:val="24"/>
        </w:rPr>
      </w:pPr>
    </w:p>
    <w:p w14:paraId="14997FC4">
      <w:pPr>
        <w:pStyle w:val="26"/>
        <w:ind w:left="0" w:leftChars="0" w:firstLine="0" w:firstLineChars="0"/>
        <w:rPr>
          <w:rFonts w:ascii="宋体"/>
          <w:sz w:val="24"/>
        </w:rPr>
      </w:pPr>
    </w:p>
    <w:p w14:paraId="5FC72DBC">
      <w:pPr>
        <w:pStyle w:val="26"/>
        <w:ind w:left="0" w:leftChars="0" w:firstLine="0" w:firstLineChars="0"/>
        <w:rPr>
          <w:rFonts w:ascii="宋体"/>
          <w:sz w:val="24"/>
        </w:rPr>
      </w:pPr>
    </w:p>
    <w:p w14:paraId="77327F17">
      <w:pPr>
        <w:pStyle w:val="26"/>
        <w:ind w:left="0" w:leftChars="0" w:firstLine="0" w:firstLineChars="0"/>
        <w:rPr>
          <w:rFonts w:ascii="宋体"/>
          <w:sz w:val="24"/>
        </w:rPr>
      </w:pPr>
    </w:p>
    <w:p w14:paraId="67428C31">
      <w:pPr>
        <w:pStyle w:val="26"/>
        <w:ind w:left="0" w:leftChars="0" w:firstLine="0" w:firstLineChars="0"/>
        <w:rPr>
          <w:rFonts w:ascii="宋体"/>
          <w:sz w:val="24"/>
        </w:rPr>
      </w:pPr>
    </w:p>
    <w:p w14:paraId="7F0910EF">
      <w:pPr>
        <w:pStyle w:val="26"/>
        <w:ind w:left="0" w:leftChars="0" w:firstLine="0" w:firstLineChars="0"/>
        <w:rPr>
          <w:rFonts w:ascii="宋体"/>
          <w:sz w:val="24"/>
        </w:rPr>
      </w:pPr>
    </w:p>
    <w:p w14:paraId="19DB9890">
      <w:pPr>
        <w:pStyle w:val="26"/>
        <w:ind w:left="0" w:leftChars="0" w:firstLine="0" w:firstLineChars="0"/>
        <w:rPr>
          <w:rFonts w:ascii="宋体"/>
          <w:sz w:val="24"/>
        </w:rPr>
      </w:pPr>
    </w:p>
    <w:p w14:paraId="187889FB">
      <w:pPr>
        <w:pStyle w:val="26"/>
        <w:ind w:left="0" w:leftChars="0" w:firstLine="0" w:firstLineChars="0"/>
        <w:rPr>
          <w:rFonts w:ascii="宋体"/>
          <w:sz w:val="24"/>
        </w:rPr>
      </w:pPr>
    </w:p>
    <w:p w14:paraId="63522877">
      <w:pPr>
        <w:pStyle w:val="26"/>
        <w:ind w:left="0" w:leftChars="0" w:firstLine="0" w:firstLineChars="0"/>
        <w:rPr>
          <w:rFonts w:ascii="宋体"/>
          <w:sz w:val="24"/>
        </w:rPr>
      </w:pPr>
    </w:p>
    <w:p w14:paraId="61E7459B">
      <w:pPr>
        <w:pStyle w:val="26"/>
        <w:ind w:left="0" w:leftChars="0" w:firstLine="0" w:firstLineChars="0"/>
        <w:rPr>
          <w:rFonts w:ascii="宋体"/>
          <w:sz w:val="24"/>
        </w:rPr>
      </w:pPr>
    </w:p>
    <w:p w14:paraId="00662620">
      <w:pPr>
        <w:pStyle w:val="26"/>
        <w:ind w:left="0" w:leftChars="0" w:firstLine="0" w:firstLineChars="0"/>
        <w:rPr>
          <w:rFonts w:ascii="宋体"/>
          <w:sz w:val="24"/>
        </w:rPr>
      </w:pPr>
    </w:p>
    <w:p w14:paraId="69D152CB">
      <w:pPr>
        <w:pStyle w:val="26"/>
        <w:numPr>
          <w:ilvl w:val="0"/>
          <w:numId w:val="3"/>
        </w:numPr>
        <w:ind w:left="0" w:leftChars="0" w:firstLine="0" w:firstLineChars="0"/>
        <w:jc w:val="center"/>
        <w:rPr>
          <w:rFonts w:ascii="宋体"/>
          <w:b/>
          <w:bCs/>
          <w:sz w:val="36"/>
          <w:szCs w:val="36"/>
        </w:rPr>
      </w:pPr>
      <w:r>
        <w:rPr>
          <w:rFonts w:hint="eastAsia" w:ascii="宋体"/>
          <w:b/>
          <w:bCs/>
          <w:sz w:val="36"/>
          <w:szCs w:val="36"/>
        </w:rPr>
        <w:t>服务需求书</w:t>
      </w:r>
    </w:p>
    <w:p w14:paraId="1E62264B">
      <w:pPr>
        <w:spacing w:before="90" w:line="182" w:lineRule="auto"/>
        <w:ind w:left="445"/>
        <w:rPr>
          <w:rFonts w:asciiTheme="minorEastAsia" w:hAnsiTheme="minorEastAsia" w:eastAsiaTheme="minorEastAsia" w:cstheme="minorEastAsia"/>
          <w:b/>
          <w:bCs/>
          <w:spacing w:val="-2"/>
          <w:szCs w:val="21"/>
        </w:rPr>
      </w:pPr>
    </w:p>
    <w:p w14:paraId="3663C65E">
      <w:pPr>
        <w:pStyle w:val="58"/>
        <w:numPr>
          <w:ilvl w:val="0"/>
          <w:numId w:val="7"/>
        </w:numPr>
        <w:spacing w:before="90" w:line="182" w:lineRule="auto"/>
        <w:ind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2"/>
          <w:szCs w:val="21"/>
        </w:rPr>
        <w:t>项目概述</w:t>
      </w:r>
    </w:p>
    <w:p w14:paraId="2CBDC3B0">
      <w:pPr>
        <w:spacing w:before="85" w:line="183" w:lineRule="auto"/>
        <w:ind w:left="440"/>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3"/>
          <w:szCs w:val="21"/>
        </w:rPr>
        <w:t>不作为打分项，供响应人投标参考。</w:t>
      </w:r>
    </w:p>
    <w:p w14:paraId="070911FB">
      <w:pPr>
        <w:spacing w:line="143" w:lineRule="auto"/>
        <w:rPr>
          <w:rFonts w:asciiTheme="minorEastAsia" w:hAnsiTheme="minorEastAsia" w:eastAsiaTheme="minorEastAsia" w:cstheme="minorEastAsia"/>
          <w:sz w:val="2"/>
        </w:rPr>
      </w:pPr>
    </w:p>
    <w:tbl>
      <w:tblPr>
        <w:tblStyle w:val="64"/>
        <w:tblW w:w="9060" w:type="dxa"/>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5"/>
        <w:gridCol w:w="1303"/>
        <w:gridCol w:w="6822"/>
      </w:tblGrid>
      <w:tr w14:paraId="12E89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35" w:type="dxa"/>
            <w:shd w:val="clear" w:color="auto" w:fill="A6A6A6"/>
          </w:tcPr>
          <w:p w14:paraId="020371E6">
            <w:pPr>
              <w:pStyle w:val="63"/>
              <w:spacing w:before="71" w:line="183" w:lineRule="auto"/>
              <w:ind w:left="253"/>
              <w:rPr>
                <w:rFonts w:asciiTheme="minorEastAsia" w:hAnsiTheme="minorEastAsia" w:eastAsiaTheme="minorEastAsia" w:cstheme="minorEastAsia"/>
              </w:rPr>
            </w:pPr>
            <w:r>
              <w:rPr>
                <w:rFonts w:hint="eastAsia" w:asciiTheme="minorEastAsia" w:hAnsiTheme="minorEastAsia" w:eastAsiaTheme="minorEastAsia" w:cstheme="minorEastAsia"/>
                <w:b/>
                <w:bCs/>
                <w:spacing w:val="-1"/>
              </w:rPr>
              <w:t>序号</w:t>
            </w:r>
          </w:p>
        </w:tc>
        <w:tc>
          <w:tcPr>
            <w:tcW w:w="1303" w:type="dxa"/>
            <w:shd w:val="clear" w:color="auto" w:fill="A6A6A6"/>
          </w:tcPr>
          <w:p w14:paraId="5935425F">
            <w:pPr>
              <w:pStyle w:val="63"/>
              <w:spacing w:before="71" w:line="183" w:lineRule="auto"/>
              <w:ind w:left="449"/>
              <w:rPr>
                <w:rFonts w:asciiTheme="minorEastAsia" w:hAnsiTheme="minorEastAsia" w:eastAsiaTheme="minorEastAsia" w:cstheme="minorEastAsia"/>
              </w:rPr>
            </w:pPr>
            <w:r>
              <w:rPr>
                <w:rFonts w:hint="eastAsia" w:asciiTheme="minorEastAsia" w:hAnsiTheme="minorEastAsia" w:eastAsiaTheme="minorEastAsia" w:cstheme="minorEastAsia"/>
                <w:b/>
                <w:bCs/>
                <w:spacing w:val="-4"/>
              </w:rPr>
              <w:t>内容</w:t>
            </w:r>
          </w:p>
        </w:tc>
        <w:tc>
          <w:tcPr>
            <w:tcW w:w="6822" w:type="dxa"/>
            <w:shd w:val="clear" w:color="auto" w:fill="A6A6A6"/>
          </w:tcPr>
          <w:p w14:paraId="6B400ABB">
            <w:pPr>
              <w:pStyle w:val="63"/>
              <w:spacing w:before="71" w:line="183" w:lineRule="auto"/>
              <w:ind w:left="3198"/>
              <w:rPr>
                <w:rFonts w:asciiTheme="minorEastAsia" w:hAnsiTheme="minorEastAsia" w:eastAsiaTheme="minorEastAsia" w:cstheme="minorEastAsia"/>
              </w:rPr>
            </w:pPr>
            <w:r>
              <w:rPr>
                <w:rFonts w:hint="eastAsia" w:asciiTheme="minorEastAsia" w:hAnsiTheme="minorEastAsia" w:eastAsiaTheme="minorEastAsia" w:cstheme="minorEastAsia"/>
                <w:b/>
                <w:bCs/>
                <w:spacing w:val="-1"/>
              </w:rPr>
              <w:t>说明</w:t>
            </w:r>
          </w:p>
        </w:tc>
      </w:tr>
      <w:tr w14:paraId="74C79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8" w:hRule="atLeast"/>
        </w:trPr>
        <w:tc>
          <w:tcPr>
            <w:tcW w:w="935" w:type="dxa"/>
          </w:tcPr>
          <w:p w14:paraId="012B4830">
            <w:pPr>
              <w:spacing w:line="261" w:lineRule="auto"/>
              <w:rPr>
                <w:rFonts w:asciiTheme="minorEastAsia" w:hAnsiTheme="minorEastAsia" w:eastAsiaTheme="minorEastAsia" w:cstheme="minorEastAsia"/>
              </w:rPr>
            </w:pPr>
          </w:p>
          <w:p w14:paraId="747D1A53">
            <w:pPr>
              <w:spacing w:line="262" w:lineRule="auto"/>
              <w:rPr>
                <w:rFonts w:asciiTheme="minorEastAsia" w:hAnsiTheme="minorEastAsia" w:eastAsiaTheme="minorEastAsia" w:cstheme="minorEastAsia"/>
              </w:rPr>
            </w:pPr>
          </w:p>
          <w:p w14:paraId="7E67C787">
            <w:pPr>
              <w:spacing w:line="262" w:lineRule="auto"/>
              <w:rPr>
                <w:rFonts w:asciiTheme="minorEastAsia" w:hAnsiTheme="minorEastAsia" w:eastAsiaTheme="minorEastAsia" w:cstheme="minorEastAsia"/>
              </w:rPr>
            </w:pPr>
          </w:p>
          <w:p w14:paraId="6E5E88A4">
            <w:pPr>
              <w:spacing w:line="262" w:lineRule="auto"/>
              <w:rPr>
                <w:rFonts w:asciiTheme="minorEastAsia" w:hAnsiTheme="minorEastAsia" w:eastAsiaTheme="minorEastAsia" w:cstheme="minorEastAsia"/>
              </w:rPr>
            </w:pPr>
          </w:p>
          <w:p w14:paraId="3BACEC7F">
            <w:pPr>
              <w:spacing w:line="262" w:lineRule="auto"/>
              <w:rPr>
                <w:rFonts w:asciiTheme="minorEastAsia" w:hAnsiTheme="minorEastAsia" w:eastAsiaTheme="minorEastAsia" w:cstheme="minorEastAsia"/>
              </w:rPr>
            </w:pPr>
          </w:p>
          <w:p w14:paraId="73F993C8">
            <w:pPr>
              <w:spacing w:line="262" w:lineRule="auto"/>
              <w:rPr>
                <w:rFonts w:asciiTheme="minorEastAsia" w:hAnsiTheme="minorEastAsia" w:eastAsiaTheme="minorEastAsia" w:cstheme="minorEastAsia"/>
              </w:rPr>
            </w:pPr>
          </w:p>
          <w:p w14:paraId="48A76315">
            <w:pPr>
              <w:spacing w:line="262" w:lineRule="auto"/>
              <w:rPr>
                <w:rFonts w:asciiTheme="minorEastAsia" w:hAnsiTheme="minorEastAsia" w:eastAsiaTheme="minorEastAsia" w:cstheme="minorEastAsia"/>
              </w:rPr>
            </w:pPr>
          </w:p>
          <w:p w14:paraId="5890E72E">
            <w:pPr>
              <w:spacing w:before="61" w:line="233" w:lineRule="auto"/>
              <w:ind w:left="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303" w:type="dxa"/>
          </w:tcPr>
          <w:p w14:paraId="4A01C5A6">
            <w:pPr>
              <w:spacing w:line="252" w:lineRule="auto"/>
              <w:rPr>
                <w:rFonts w:asciiTheme="minorEastAsia" w:hAnsiTheme="minorEastAsia" w:eastAsiaTheme="minorEastAsia" w:cstheme="minorEastAsia"/>
              </w:rPr>
            </w:pPr>
          </w:p>
          <w:p w14:paraId="41084766">
            <w:pPr>
              <w:spacing w:line="252" w:lineRule="auto"/>
              <w:rPr>
                <w:rFonts w:asciiTheme="minorEastAsia" w:hAnsiTheme="minorEastAsia" w:eastAsiaTheme="minorEastAsia" w:cstheme="minorEastAsia"/>
              </w:rPr>
            </w:pPr>
          </w:p>
          <w:p w14:paraId="75A7E294">
            <w:pPr>
              <w:spacing w:line="252" w:lineRule="auto"/>
              <w:rPr>
                <w:rFonts w:asciiTheme="minorEastAsia" w:hAnsiTheme="minorEastAsia" w:eastAsiaTheme="minorEastAsia" w:cstheme="minorEastAsia"/>
              </w:rPr>
            </w:pPr>
          </w:p>
          <w:p w14:paraId="44AC2F64">
            <w:pPr>
              <w:spacing w:line="253" w:lineRule="auto"/>
              <w:rPr>
                <w:rFonts w:asciiTheme="minorEastAsia" w:hAnsiTheme="minorEastAsia" w:eastAsiaTheme="minorEastAsia" w:cstheme="minorEastAsia"/>
              </w:rPr>
            </w:pPr>
          </w:p>
          <w:p w14:paraId="1CA2F143">
            <w:pPr>
              <w:spacing w:line="253" w:lineRule="auto"/>
              <w:rPr>
                <w:rFonts w:asciiTheme="minorEastAsia" w:hAnsiTheme="minorEastAsia" w:eastAsiaTheme="minorEastAsia" w:cstheme="minorEastAsia"/>
              </w:rPr>
            </w:pPr>
          </w:p>
          <w:p w14:paraId="320E5A54">
            <w:pPr>
              <w:spacing w:line="253" w:lineRule="auto"/>
              <w:rPr>
                <w:rFonts w:asciiTheme="minorEastAsia" w:hAnsiTheme="minorEastAsia" w:eastAsiaTheme="minorEastAsia" w:cstheme="minorEastAsia"/>
              </w:rPr>
            </w:pPr>
          </w:p>
          <w:p w14:paraId="6BAC0AD3">
            <w:pPr>
              <w:spacing w:line="253" w:lineRule="auto"/>
              <w:rPr>
                <w:rFonts w:asciiTheme="minorEastAsia" w:hAnsiTheme="minorEastAsia" w:eastAsiaTheme="minorEastAsia" w:cstheme="minorEastAsia"/>
              </w:rPr>
            </w:pPr>
          </w:p>
          <w:p w14:paraId="42283757">
            <w:pPr>
              <w:pStyle w:val="63"/>
              <w:spacing w:before="90" w:line="182" w:lineRule="auto"/>
              <w:ind w:left="224"/>
              <w:rPr>
                <w:rFonts w:asciiTheme="minorEastAsia" w:hAnsiTheme="minorEastAsia" w:eastAsiaTheme="minorEastAsia" w:cstheme="minorEastAsia"/>
              </w:rPr>
            </w:pPr>
            <w:r>
              <w:rPr>
                <w:rFonts w:hint="eastAsia" w:asciiTheme="minorEastAsia" w:hAnsiTheme="minorEastAsia" w:eastAsiaTheme="minorEastAsia" w:cstheme="minorEastAsia"/>
                <w:spacing w:val="-1"/>
              </w:rPr>
              <w:t>项目背景</w:t>
            </w:r>
          </w:p>
        </w:tc>
        <w:tc>
          <w:tcPr>
            <w:tcW w:w="6822" w:type="dxa"/>
          </w:tcPr>
          <w:p w14:paraId="1BDFD3A8">
            <w:pPr>
              <w:pStyle w:val="63"/>
              <w:spacing w:before="67" w:line="235" w:lineRule="auto"/>
              <w:ind w:left="101" w:right="120" w:firstLine="2"/>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北京大学第六医院是国家卫健委委属的唯一一家精神专科医院</w:t>
            </w:r>
            <w:r>
              <w:rPr>
                <w:rFonts w:hint="eastAsia" w:asciiTheme="minorEastAsia" w:hAnsiTheme="minorEastAsia" w:eastAsiaTheme="minorEastAsia" w:cstheme="minorEastAsia"/>
                <w:spacing w:val="-1"/>
                <w:lang w:eastAsia="zh-CN"/>
              </w:rPr>
              <w:t>，是世界</w:t>
            </w:r>
            <w:r>
              <w:rPr>
                <w:rFonts w:hint="eastAsia" w:asciiTheme="minorEastAsia" w:hAnsiTheme="minorEastAsia" w:eastAsiaTheme="minorEastAsia" w:cstheme="minorEastAsia"/>
                <w:spacing w:val="13"/>
                <w:lang w:eastAsia="zh-CN"/>
              </w:rPr>
              <w:t>卫生组织(</w:t>
            </w:r>
            <w:r>
              <w:rPr>
                <w:rFonts w:hint="eastAsia" w:asciiTheme="minorEastAsia" w:hAnsiTheme="minorEastAsia" w:eastAsiaTheme="minorEastAsia" w:cstheme="minorEastAsia"/>
                <w:lang w:eastAsia="zh-CN"/>
              </w:rPr>
              <w:t>WHO</w:t>
            </w:r>
            <w:r>
              <w:rPr>
                <w:rFonts w:hint="eastAsia" w:asciiTheme="minorEastAsia" w:hAnsiTheme="minorEastAsia" w:eastAsiaTheme="minorEastAsia" w:cstheme="minorEastAsia"/>
                <w:spacing w:val="13"/>
                <w:lang w:eastAsia="zh-CN"/>
              </w:rPr>
              <w:t>)北京精神卫生研究和培训协作中心，也是</w:t>
            </w:r>
            <w:r>
              <w:rPr>
                <w:rFonts w:hint="eastAsia" w:asciiTheme="minorEastAsia" w:hAnsiTheme="minorEastAsia" w:eastAsiaTheme="minorEastAsia" w:cstheme="minorEastAsia"/>
                <w:spacing w:val="12"/>
                <w:lang w:eastAsia="zh-CN"/>
              </w:rPr>
              <w:t>中国疾病</w:t>
            </w:r>
            <w:r>
              <w:rPr>
                <w:rFonts w:hint="eastAsia" w:asciiTheme="minorEastAsia" w:hAnsiTheme="minorEastAsia" w:eastAsiaTheme="minorEastAsia" w:cstheme="minorEastAsia"/>
                <w:lang w:eastAsia="zh-CN"/>
              </w:rPr>
              <w:t>预防控制中心的精神卫生中心。</w:t>
            </w:r>
            <w:r>
              <w:rPr>
                <w:rFonts w:hint="eastAsia" w:asciiTheme="minorEastAsia" w:hAnsiTheme="minorEastAsia" w:eastAsiaTheme="minorEastAsia" w:cstheme="minorEastAsia"/>
                <w:spacing w:val="13"/>
                <w:lang w:eastAsia="zh-CN"/>
              </w:rPr>
              <w:t xml:space="preserve">在医疗信息化全面渗透的当下，北京大学第六医院（以下简称 “医院”）作为国内精神专科医疗领域的标杆机构，其诊疗服务、科研创新、行政管控等核心业务已深度绑定信息化系统。医院（海淀、昌平）两院区数据机房作为支撑全院信息化运转的 “核心底座”，集中部署了服务器集群、存储阵列、网络核心设备等关键 IT 设施，同时配套运行精密空调、动环监控系统、UPS 不间断电源等基础保障设备，共同承载着电子病历、患者诊疗数据、科研实验数据、药品管理系统、财务结算系统等核心业务数据的存储、传输与处理任务，是保障医院医疗服务连续性、科研工作稳定性及管理效率的关键基础设施。      </w:t>
            </w:r>
          </w:p>
        </w:tc>
      </w:tr>
      <w:tr w14:paraId="6B356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35" w:type="dxa"/>
          </w:tcPr>
          <w:p w14:paraId="2946CE21">
            <w:pPr>
              <w:spacing w:before="109" w:line="233" w:lineRule="auto"/>
              <w:ind w:left="41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303" w:type="dxa"/>
          </w:tcPr>
          <w:p w14:paraId="1C5E86B5">
            <w:pPr>
              <w:pStyle w:val="63"/>
              <w:spacing w:before="71" w:line="183" w:lineRule="auto"/>
              <w:ind w:left="226"/>
              <w:rPr>
                <w:rFonts w:asciiTheme="minorEastAsia" w:hAnsiTheme="minorEastAsia" w:eastAsiaTheme="minorEastAsia" w:cstheme="minorEastAsia"/>
              </w:rPr>
            </w:pPr>
            <w:r>
              <w:rPr>
                <w:rFonts w:hint="eastAsia" w:asciiTheme="minorEastAsia" w:hAnsiTheme="minorEastAsia" w:eastAsiaTheme="minorEastAsia" w:cstheme="minorEastAsia"/>
                <w:spacing w:val="-1"/>
              </w:rPr>
              <w:t>执行依据</w:t>
            </w:r>
          </w:p>
        </w:tc>
        <w:tc>
          <w:tcPr>
            <w:tcW w:w="6822" w:type="dxa"/>
          </w:tcPr>
          <w:p w14:paraId="71628280">
            <w:pPr>
              <w:pStyle w:val="63"/>
              <w:spacing w:before="69" w:line="184" w:lineRule="auto"/>
              <w:ind w:left="103"/>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3"/>
                <w:lang w:eastAsia="zh-CN"/>
              </w:rPr>
              <w:t>根据实际需求和有关国家政府采购法律法规。</w:t>
            </w:r>
          </w:p>
        </w:tc>
      </w:tr>
      <w:tr w14:paraId="3DEEF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935" w:type="dxa"/>
          </w:tcPr>
          <w:p w14:paraId="7A469B69">
            <w:pPr>
              <w:spacing w:before="289" w:line="232" w:lineRule="auto"/>
              <w:ind w:left="41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303" w:type="dxa"/>
          </w:tcPr>
          <w:p w14:paraId="01C50D26">
            <w:pPr>
              <w:pStyle w:val="63"/>
              <w:spacing w:before="253" w:line="182" w:lineRule="auto"/>
              <w:ind w:left="224"/>
              <w:rPr>
                <w:rFonts w:asciiTheme="minorEastAsia" w:hAnsiTheme="minorEastAsia" w:eastAsiaTheme="minorEastAsia" w:cstheme="minorEastAsia"/>
              </w:rPr>
            </w:pPr>
            <w:r>
              <w:rPr>
                <w:rFonts w:hint="eastAsia" w:asciiTheme="minorEastAsia" w:hAnsiTheme="minorEastAsia" w:eastAsiaTheme="minorEastAsia" w:cstheme="minorEastAsia"/>
                <w:spacing w:val="-1"/>
              </w:rPr>
              <w:t>项目目标</w:t>
            </w:r>
          </w:p>
        </w:tc>
        <w:tc>
          <w:tcPr>
            <w:tcW w:w="6822" w:type="dxa"/>
          </w:tcPr>
          <w:p w14:paraId="7F9623F9">
            <w:pPr>
              <w:rPr>
                <w:rFonts w:asciiTheme="minorEastAsia" w:hAnsiTheme="minorEastAsia" w:eastAsiaTheme="minorEastAsia" w:cstheme="minorEastAsia"/>
              </w:rPr>
            </w:pPr>
            <w:r>
              <w:rPr>
                <w:rFonts w:hint="eastAsia" w:asciiTheme="minorEastAsia" w:hAnsiTheme="minorEastAsia" w:eastAsiaTheme="minorEastAsia" w:cstheme="minorEastAsia"/>
                <w:snapToGrid w:val="0"/>
                <w:color w:val="000000"/>
                <w:spacing w:val="13"/>
                <w:szCs w:val="21"/>
              </w:rPr>
              <w:t>根据北京大学第六医院信息中心机房运维管理工作总体要求建立完善机房基础设施运维流程和各项规章制度，开展为期一年的设备巡检、定期维护、故障排查解决和应急处理等各项硬件运维工作，保障相关机房基础设施高效、稳定运行。</w:t>
            </w:r>
          </w:p>
        </w:tc>
      </w:tr>
      <w:tr w14:paraId="228F2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935" w:type="dxa"/>
          </w:tcPr>
          <w:p w14:paraId="13AD022D">
            <w:pPr>
              <w:spacing w:line="406" w:lineRule="auto"/>
              <w:rPr>
                <w:rFonts w:asciiTheme="minorEastAsia" w:hAnsiTheme="minorEastAsia" w:eastAsiaTheme="minorEastAsia" w:cstheme="minorEastAsia"/>
              </w:rPr>
            </w:pPr>
          </w:p>
          <w:p w14:paraId="6F393A95">
            <w:pPr>
              <w:spacing w:before="61" w:line="233" w:lineRule="auto"/>
              <w:ind w:left="4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303" w:type="dxa"/>
          </w:tcPr>
          <w:p w14:paraId="018955DA">
            <w:pPr>
              <w:spacing w:line="341" w:lineRule="auto"/>
              <w:rPr>
                <w:rFonts w:asciiTheme="minorEastAsia" w:hAnsiTheme="minorEastAsia" w:eastAsiaTheme="minorEastAsia" w:cstheme="minorEastAsia"/>
              </w:rPr>
            </w:pPr>
          </w:p>
          <w:p w14:paraId="0CAF3915">
            <w:pPr>
              <w:pStyle w:val="63"/>
              <w:spacing w:before="90" w:line="182" w:lineRule="auto"/>
              <w:ind w:left="224"/>
              <w:rPr>
                <w:rFonts w:asciiTheme="minorEastAsia" w:hAnsiTheme="minorEastAsia" w:eastAsiaTheme="minorEastAsia" w:cstheme="minorEastAsia"/>
              </w:rPr>
            </w:pPr>
            <w:r>
              <w:rPr>
                <w:rFonts w:hint="eastAsia" w:asciiTheme="minorEastAsia" w:hAnsiTheme="minorEastAsia" w:eastAsiaTheme="minorEastAsia" w:cstheme="minorEastAsia"/>
                <w:spacing w:val="-1"/>
              </w:rPr>
              <w:t>项目内容</w:t>
            </w:r>
          </w:p>
        </w:tc>
        <w:tc>
          <w:tcPr>
            <w:tcW w:w="6822" w:type="dxa"/>
          </w:tcPr>
          <w:p w14:paraId="392D868A">
            <w:pPr>
              <w:rPr>
                <w:rFonts w:asciiTheme="minorEastAsia" w:hAnsiTheme="minorEastAsia" w:eastAsiaTheme="minorEastAsia" w:cstheme="minorEastAsia"/>
              </w:rPr>
            </w:pPr>
            <w:r>
              <w:rPr>
                <w:rFonts w:hint="eastAsia" w:asciiTheme="minorEastAsia" w:hAnsiTheme="minorEastAsia" w:eastAsiaTheme="minorEastAsia" w:cstheme="minorEastAsia"/>
                <w:snapToGrid w:val="0"/>
                <w:color w:val="000000"/>
                <w:spacing w:val="13"/>
                <w:szCs w:val="21"/>
              </w:rPr>
              <w:t>定期巡检与保养：需制定月度、季度、半年度、年度巡检计划，对精密空调系统、UPS 不间断电源系统、动环监控系统、移动护理车、移动医生车以及移动客户端进行巡检维护计划，确保设备处于最佳运行状态。</w:t>
            </w:r>
          </w:p>
        </w:tc>
      </w:tr>
      <w:tr w14:paraId="4DFC4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935" w:type="dxa"/>
          </w:tcPr>
          <w:p w14:paraId="6999844D">
            <w:pPr>
              <w:spacing w:line="407" w:lineRule="auto"/>
              <w:rPr>
                <w:rFonts w:asciiTheme="minorEastAsia" w:hAnsiTheme="minorEastAsia" w:eastAsiaTheme="minorEastAsia" w:cstheme="minorEastAsia"/>
              </w:rPr>
            </w:pPr>
          </w:p>
          <w:p w14:paraId="417563CD">
            <w:pPr>
              <w:spacing w:before="62" w:line="232" w:lineRule="auto"/>
              <w:ind w:left="41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303" w:type="dxa"/>
          </w:tcPr>
          <w:p w14:paraId="4F82838B">
            <w:pPr>
              <w:spacing w:line="343" w:lineRule="auto"/>
              <w:rPr>
                <w:rFonts w:asciiTheme="minorEastAsia" w:hAnsiTheme="minorEastAsia" w:eastAsiaTheme="minorEastAsia" w:cstheme="minorEastAsia"/>
              </w:rPr>
            </w:pPr>
          </w:p>
          <w:p w14:paraId="5CFD3DB1">
            <w:pPr>
              <w:pStyle w:val="63"/>
              <w:spacing w:before="90" w:line="182" w:lineRule="auto"/>
              <w:ind w:left="224"/>
              <w:rPr>
                <w:rFonts w:asciiTheme="minorEastAsia" w:hAnsiTheme="minorEastAsia" w:eastAsiaTheme="minorEastAsia" w:cstheme="minorEastAsia"/>
              </w:rPr>
            </w:pPr>
            <w:r>
              <w:rPr>
                <w:rFonts w:hint="eastAsia" w:asciiTheme="minorEastAsia" w:hAnsiTheme="minorEastAsia" w:eastAsiaTheme="minorEastAsia" w:cstheme="minorEastAsia"/>
                <w:spacing w:val="-1"/>
              </w:rPr>
              <w:t>项目范围</w:t>
            </w:r>
          </w:p>
        </w:tc>
        <w:tc>
          <w:tcPr>
            <w:tcW w:w="6822" w:type="dxa"/>
          </w:tcPr>
          <w:p w14:paraId="7A34931A">
            <w:pPr>
              <w:pStyle w:val="63"/>
              <w:spacing w:before="73" w:line="221" w:lineRule="auto"/>
              <w:ind w:left="102" w:right="201" w:firstLine="2"/>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本次采购招标包含但不限于软硬件设备的采购、供货、安装</w:t>
            </w:r>
            <w:r>
              <w:rPr>
                <w:rFonts w:hint="eastAsia" w:asciiTheme="minorEastAsia" w:hAnsiTheme="minorEastAsia" w:eastAsiaTheme="minorEastAsia" w:cstheme="minorEastAsia"/>
                <w:spacing w:val="-1"/>
                <w:lang w:eastAsia="zh-CN"/>
              </w:rPr>
              <w:t>、调试、业</w:t>
            </w:r>
            <w:r>
              <w:rPr>
                <w:rFonts w:hint="eastAsia" w:asciiTheme="minorEastAsia" w:hAnsiTheme="minorEastAsia" w:eastAsiaTheme="minorEastAsia" w:cstheme="minorEastAsia"/>
                <w:lang w:eastAsia="zh-CN"/>
              </w:rPr>
              <w:t>务系统集成工作，需按照采购人的服务要求，保</w:t>
            </w:r>
            <w:r>
              <w:rPr>
                <w:rFonts w:hint="eastAsia" w:asciiTheme="minorEastAsia" w:hAnsiTheme="minorEastAsia" w:eastAsiaTheme="minorEastAsia" w:cstheme="minorEastAsia"/>
                <w:spacing w:val="-1"/>
                <w:lang w:eastAsia="zh-CN"/>
              </w:rPr>
              <w:t>障基础</w:t>
            </w:r>
            <w:r>
              <w:rPr>
                <w:rFonts w:hint="eastAsia" w:asciiTheme="minorEastAsia" w:hAnsiTheme="minorEastAsia" w:eastAsiaTheme="minorEastAsia" w:cstheme="minorEastAsia"/>
                <w:spacing w:val="-3"/>
                <w:lang w:eastAsia="zh-CN"/>
              </w:rPr>
              <w:t>软硬件平台的高效平稳运行。</w:t>
            </w:r>
          </w:p>
        </w:tc>
      </w:tr>
      <w:tr w14:paraId="341CA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trPr>
        <w:tc>
          <w:tcPr>
            <w:tcW w:w="935" w:type="dxa"/>
          </w:tcPr>
          <w:p w14:paraId="62C4D1AC">
            <w:pPr>
              <w:spacing w:line="409" w:lineRule="auto"/>
              <w:rPr>
                <w:rFonts w:asciiTheme="minorEastAsia" w:hAnsiTheme="minorEastAsia" w:eastAsiaTheme="minorEastAsia" w:cstheme="minorEastAsia"/>
              </w:rPr>
            </w:pPr>
          </w:p>
          <w:p w14:paraId="33AC9425">
            <w:pPr>
              <w:spacing w:before="61" w:line="232" w:lineRule="auto"/>
              <w:ind w:left="41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303" w:type="dxa"/>
          </w:tcPr>
          <w:p w14:paraId="7EBC0F0D">
            <w:pPr>
              <w:spacing w:line="343" w:lineRule="auto"/>
              <w:rPr>
                <w:rFonts w:asciiTheme="minorEastAsia" w:hAnsiTheme="minorEastAsia" w:eastAsiaTheme="minorEastAsia" w:cstheme="minorEastAsia"/>
              </w:rPr>
            </w:pPr>
          </w:p>
          <w:p w14:paraId="0F9A6E18">
            <w:pPr>
              <w:pStyle w:val="63"/>
              <w:spacing w:before="90" w:line="183" w:lineRule="auto"/>
              <w:ind w:left="227"/>
              <w:rPr>
                <w:rFonts w:asciiTheme="minorEastAsia" w:hAnsiTheme="minorEastAsia" w:eastAsiaTheme="minorEastAsia" w:cstheme="minorEastAsia"/>
              </w:rPr>
            </w:pPr>
            <w:r>
              <w:rPr>
                <w:rFonts w:hint="eastAsia" w:asciiTheme="minorEastAsia" w:hAnsiTheme="minorEastAsia" w:eastAsiaTheme="minorEastAsia" w:cstheme="minorEastAsia"/>
                <w:spacing w:val="-1"/>
              </w:rPr>
              <w:t>需求分析</w:t>
            </w:r>
          </w:p>
        </w:tc>
        <w:tc>
          <w:tcPr>
            <w:tcW w:w="6822" w:type="dxa"/>
          </w:tcPr>
          <w:p w14:paraId="327E58AD">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snapToGrid w:val="0"/>
                <w:color w:val="000000"/>
                <w:szCs w:val="21"/>
              </w:rPr>
              <w:t>从设备运行现状来看，北京大学第六医院（海淀、昌平）南北两院区数据机房自投用以来，为满足全院 7×24 小时不间断的医疗服务需求，精密空调、UPS 不间断电源等基础设备始终处于高负荷运行状态，且已持续多年；而动环监控系统作为机房环境与设备状态的 “感知神经”，也需实时采集温湿度、电压、电流等关键数据，长期处于连续工作模式。目前，机房内精密空调、UPS 不间断电源为知名品牌机组以运行3年以上，设备老旧。动环监控系统则包含多类传感器与监控终端。受长期高负荷运行、机房 IT 设备密度逐年提升（导致散热与供电需求持续增加）、外部环境波动（如电网电压不稳、季节温差变化）及设备自然老化等多重因素影响，这些基础设备逐渐暴露出一系列潜在风险，目前为满足两院区院 7×24 小时不间断的医疗服务需求，开展为期一年的设备巡检、定期维护、故障排查解决和应急处理等各项硬件运维工作，保障相关机房基础设施高效、稳定运行。</w:t>
            </w:r>
          </w:p>
        </w:tc>
      </w:tr>
      <w:tr w14:paraId="061D6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trPr>
        <w:tc>
          <w:tcPr>
            <w:tcW w:w="935" w:type="dxa"/>
          </w:tcPr>
          <w:p w14:paraId="49A78755">
            <w:pPr>
              <w:spacing w:line="280" w:lineRule="auto"/>
              <w:rPr>
                <w:rFonts w:asciiTheme="minorEastAsia" w:hAnsiTheme="minorEastAsia" w:eastAsiaTheme="minorEastAsia" w:cstheme="minorEastAsia"/>
              </w:rPr>
            </w:pPr>
          </w:p>
          <w:p w14:paraId="3AFF9368">
            <w:pPr>
              <w:spacing w:before="61" w:line="233" w:lineRule="auto"/>
              <w:ind w:left="41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303" w:type="dxa"/>
          </w:tcPr>
          <w:p w14:paraId="79C6DA37">
            <w:pPr>
              <w:spacing w:line="293" w:lineRule="auto"/>
              <w:rPr>
                <w:rFonts w:asciiTheme="minorEastAsia" w:hAnsiTheme="minorEastAsia" w:eastAsiaTheme="minorEastAsia" w:cstheme="minorEastAsia"/>
              </w:rPr>
            </w:pPr>
          </w:p>
          <w:p w14:paraId="5CAE5D39">
            <w:pPr>
              <w:pStyle w:val="63"/>
              <w:spacing w:before="90" w:line="250" w:lineRule="auto"/>
              <w:ind w:left="340" w:right="124" w:hanging="218"/>
              <w:rPr>
                <w:rFonts w:asciiTheme="minorEastAsia" w:hAnsiTheme="minorEastAsia" w:eastAsiaTheme="minorEastAsia" w:cstheme="minorEastAsia"/>
                <w:spacing w:val="-1"/>
              </w:rPr>
            </w:pPr>
            <w:r>
              <w:rPr>
                <w:rFonts w:hint="eastAsia" w:asciiTheme="minorEastAsia" w:hAnsiTheme="minorEastAsia" w:eastAsiaTheme="minorEastAsia" w:cstheme="minorEastAsia"/>
                <w:spacing w:val="-1"/>
              </w:rPr>
              <w:t>与前期项目</w:t>
            </w:r>
            <w:r>
              <w:rPr>
                <w:rFonts w:hint="eastAsia" w:asciiTheme="minorEastAsia" w:hAnsiTheme="minorEastAsia" w:eastAsiaTheme="minorEastAsia" w:cstheme="minorEastAsia"/>
                <w:spacing w:val="-3"/>
              </w:rPr>
              <w:t>的关系</w:t>
            </w:r>
          </w:p>
        </w:tc>
        <w:tc>
          <w:tcPr>
            <w:tcW w:w="6822" w:type="dxa"/>
          </w:tcPr>
          <w:p w14:paraId="283B4D9E">
            <w:pPr>
              <w:pStyle w:val="63"/>
              <w:spacing w:before="71" w:line="232" w:lineRule="auto"/>
              <w:ind w:left="102" w:right="201"/>
              <w:rPr>
                <w:rFonts w:asciiTheme="minorEastAsia" w:hAnsiTheme="minorEastAsia" w:eastAsiaTheme="minorEastAsia" w:cstheme="minorEastAsia"/>
                <w:spacing w:val="-1"/>
                <w:lang w:eastAsia="zh-CN"/>
              </w:rPr>
            </w:pPr>
            <w:r>
              <w:rPr>
                <w:rFonts w:hint="eastAsia" w:asciiTheme="minorEastAsia" w:hAnsiTheme="minorEastAsia" w:eastAsiaTheme="minorEastAsia" w:cstheme="minorEastAsia"/>
                <w:lang w:eastAsia="zh-CN"/>
              </w:rPr>
              <w:t>精神心理疾病是目前我国面临的严重公共卫生难题，具有就诊率</w:t>
            </w:r>
            <w:r>
              <w:rPr>
                <w:rFonts w:hint="eastAsia" w:asciiTheme="minorEastAsia" w:hAnsiTheme="minorEastAsia" w:eastAsiaTheme="minorEastAsia" w:cstheme="minorEastAsia"/>
                <w:spacing w:val="-1"/>
                <w:lang w:eastAsia="zh-CN"/>
              </w:rPr>
              <w:t>低、治</w:t>
            </w:r>
            <w:r>
              <w:rPr>
                <w:rFonts w:hint="eastAsia" w:asciiTheme="minorEastAsia" w:hAnsiTheme="minorEastAsia" w:eastAsiaTheme="minorEastAsia" w:cstheme="minorEastAsia"/>
                <w:lang w:eastAsia="zh-CN"/>
              </w:rPr>
              <w:t>疗有效性低、致残率高等特点，给患者、家庭和社会带来沉重负</w:t>
            </w:r>
            <w:r>
              <w:rPr>
                <w:rFonts w:hint="eastAsia" w:asciiTheme="minorEastAsia" w:hAnsiTheme="minorEastAsia" w:eastAsiaTheme="minorEastAsia" w:cstheme="minorEastAsia"/>
                <w:spacing w:val="-1"/>
                <w:lang w:eastAsia="zh-CN"/>
              </w:rPr>
              <w:t>担。</w:t>
            </w:r>
            <w:r>
              <w:rPr>
                <w:rFonts w:hint="eastAsia" w:asciiTheme="minorEastAsia" w:hAnsiTheme="minorEastAsia" w:eastAsiaTheme="minorEastAsia" w:cstheme="minorEastAsia"/>
                <w:snapToGrid w:val="0"/>
                <w:color w:val="000000"/>
                <w:lang w:eastAsia="zh-CN"/>
              </w:rPr>
              <w:t>为满足两院区院 7×24 小时不间断的医疗服务需求，开展为期一年的设备巡检、定期维护、故障排查解决和应急处理等各项硬件运维工作，保障相关机房基础设施高效、稳定运行。</w:t>
            </w:r>
          </w:p>
        </w:tc>
      </w:tr>
    </w:tbl>
    <w:p w14:paraId="3218B500">
      <w:pPr>
        <w:spacing w:line="360" w:lineRule="auto"/>
        <w:rPr>
          <w:rFonts w:asciiTheme="minorEastAsia" w:hAnsiTheme="minorEastAsia" w:eastAsiaTheme="minorEastAsia" w:cstheme="minorEastAsia"/>
        </w:rPr>
        <w:sectPr>
          <w:footerReference r:id="rId5" w:type="default"/>
          <w:pgSz w:w="11907" w:h="16840"/>
          <w:pgMar w:top="400" w:right="1096" w:bottom="1085" w:left="1092" w:header="0" w:footer="709" w:gutter="0"/>
          <w:pgNumType w:fmt="decimal"/>
          <w:cols w:space="720" w:num="1"/>
        </w:sectPr>
      </w:pPr>
    </w:p>
    <w:p w14:paraId="78E4961E">
      <w:pPr>
        <w:pStyle w:val="6"/>
        <w:spacing w:line="360" w:lineRule="auto"/>
        <w:rPr>
          <w:rFonts w:asciiTheme="minorEastAsia" w:hAnsiTheme="minorEastAsia" w:eastAsiaTheme="minorEastAsia" w:cstheme="minorEastAsia"/>
        </w:rPr>
      </w:pPr>
    </w:p>
    <w:p w14:paraId="745FE3EC">
      <w:pPr>
        <w:pStyle w:val="58"/>
        <w:numPr>
          <w:ilvl w:val="0"/>
          <w:numId w:val="7"/>
        </w:numPr>
        <w:spacing w:before="90" w:line="182" w:lineRule="auto"/>
        <w:ind w:firstLineChars="0"/>
        <w:rPr>
          <w:rFonts w:asciiTheme="minorEastAsia" w:hAnsiTheme="minorEastAsia" w:eastAsiaTheme="minorEastAsia" w:cstheme="minorEastAsia"/>
          <w:b/>
          <w:bCs/>
          <w:spacing w:val="-2"/>
          <w:szCs w:val="21"/>
        </w:rPr>
      </w:pPr>
      <w:r>
        <w:rPr>
          <w:rFonts w:hint="eastAsia" w:asciiTheme="minorEastAsia" w:hAnsiTheme="minorEastAsia" w:eastAsiaTheme="minorEastAsia" w:cstheme="minorEastAsia"/>
          <w:b/>
          <w:bCs/>
          <w:spacing w:val="-2"/>
          <w:szCs w:val="21"/>
        </w:rPr>
        <w:t>维护产品一览表</w:t>
      </w:r>
    </w:p>
    <w:p w14:paraId="1DB7CBA6">
      <w:pPr>
        <w:spacing w:before="90" w:line="360" w:lineRule="auto"/>
        <w:rPr>
          <w:rFonts w:asciiTheme="minorEastAsia" w:hAnsiTheme="minorEastAsia" w:eastAsiaTheme="minorEastAsia" w:cstheme="minorEastAsia"/>
          <w:b/>
          <w:bCs/>
          <w:spacing w:val="-2"/>
          <w:szCs w:val="21"/>
        </w:rPr>
      </w:pPr>
    </w:p>
    <w:tbl>
      <w:tblPr>
        <w:tblStyle w:val="27"/>
        <w:tblW w:w="4997" w:type="pct"/>
        <w:tblInd w:w="0" w:type="dxa"/>
        <w:tblLayout w:type="autofit"/>
        <w:tblCellMar>
          <w:top w:w="0" w:type="dxa"/>
          <w:left w:w="108" w:type="dxa"/>
          <w:bottom w:w="0" w:type="dxa"/>
          <w:right w:w="108" w:type="dxa"/>
        </w:tblCellMar>
      </w:tblPr>
      <w:tblGrid>
        <w:gridCol w:w="1089"/>
        <w:gridCol w:w="1613"/>
        <w:gridCol w:w="1311"/>
        <w:gridCol w:w="1976"/>
        <w:gridCol w:w="1420"/>
        <w:gridCol w:w="1420"/>
        <w:gridCol w:w="1100"/>
      </w:tblGrid>
      <w:tr w14:paraId="4FD298F8">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5CF9">
            <w:pPr>
              <w:widowControl/>
              <w:spacing w:line="360" w:lineRule="auto"/>
              <w:jc w:val="center"/>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序号</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82BE">
            <w:pPr>
              <w:widowControl/>
              <w:spacing w:line="360" w:lineRule="auto"/>
              <w:jc w:val="center"/>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产品名称</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750A">
            <w:pPr>
              <w:widowControl/>
              <w:spacing w:line="360" w:lineRule="auto"/>
              <w:jc w:val="center"/>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制造商</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B515">
            <w:pPr>
              <w:widowControl/>
              <w:spacing w:line="360" w:lineRule="auto"/>
              <w:jc w:val="center"/>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品牌/型号</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C62B">
            <w:pPr>
              <w:widowControl/>
              <w:spacing w:line="360" w:lineRule="auto"/>
              <w:jc w:val="center"/>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产地</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036F">
            <w:pPr>
              <w:widowControl/>
              <w:spacing w:line="360" w:lineRule="auto"/>
              <w:jc w:val="center"/>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数量</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B2CA">
            <w:pPr>
              <w:widowControl/>
              <w:spacing w:line="360" w:lineRule="auto"/>
              <w:jc w:val="center"/>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单位</w:t>
            </w:r>
          </w:p>
        </w:tc>
      </w:tr>
      <w:tr w14:paraId="76483E0A">
        <w:tblPrEx>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4334AA">
            <w:pPr>
              <w:widowControl/>
              <w:jc w:val="left"/>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一、精密空调系统</w:t>
            </w:r>
          </w:p>
        </w:tc>
      </w:tr>
      <w:tr w14:paraId="4AC50643">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EF22">
            <w:pPr>
              <w:widowControl/>
              <w:jc w:val="center"/>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BB9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精密空调</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CB07">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科华</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9B5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KHJA-B20AU</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439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厦门</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5379">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0B5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套</w:t>
            </w:r>
          </w:p>
        </w:tc>
      </w:tr>
      <w:tr w14:paraId="01D2F401">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0346">
            <w:pPr>
              <w:widowControl/>
              <w:jc w:val="center"/>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3A1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精密空调</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78C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艾特网能</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2E4B">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艾特网能</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FD91">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深圳</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6325">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3025">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套</w:t>
            </w:r>
          </w:p>
        </w:tc>
      </w:tr>
      <w:tr w14:paraId="2D09EC18">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87CF">
            <w:pPr>
              <w:widowControl/>
              <w:jc w:val="center"/>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C195">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精密空调</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3026">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施耐德</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CC11">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施耐德</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6CBC">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北京</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49D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1D1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套</w:t>
            </w:r>
          </w:p>
        </w:tc>
      </w:tr>
      <w:tr w14:paraId="11FEF9A4">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232B">
            <w:pPr>
              <w:widowControl/>
              <w:jc w:val="center"/>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094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精密空调</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CEEC">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阿尔西</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FD51">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阿尔西</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CE24">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北京</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FA05">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5B7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套</w:t>
            </w:r>
          </w:p>
        </w:tc>
      </w:tr>
      <w:tr w14:paraId="2743EA16">
        <w:tblPrEx>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BBC365">
            <w:pPr>
              <w:widowControl/>
              <w:jc w:val="left"/>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二、动环监控系统（1）</w:t>
            </w:r>
          </w:p>
        </w:tc>
      </w:tr>
      <w:tr w14:paraId="127C43EB">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81326">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8BB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动环监控主机</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EA71">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鑫泰格</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B28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XTG-1200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288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济南</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BF6D">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8027">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台</w:t>
            </w:r>
          </w:p>
        </w:tc>
      </w:tr>
      <w:tr w14:paraId="37C4715D">
        <w:tblPrEx>
          <w:tblCellMar>
            <w:top w:w="0" w:type="dxa"/>
            <w:left w:w="108" w:type="dxa"/>
            <w:bottom w:w="0" w:type="dxa"/>
            <w:right w:w="108" w:type="dxa"/>
          </w:tblCellMar>
        </w:tblPrEx>
        <w:trPr>
          <w:trHeight w:val="576"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497D">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265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智能监控管理系统V3.0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A61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鑫泰格</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0185">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精密空调监测软件</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2F7F">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济南</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EF5B">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5632">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套</w:t>
            </w:r>
          </w:p>
        </w:tc>
      </w:tr>
      <w:tr w14:paraId="096A69CF">
        <w:tblPrEx>
          <w:tblCellMar>
            <w:top w:w="0" w:type="dxa"/>
            <w:left w:w="108" w:type="dxa"/>
            <w:bottom w:w="0" w:type="dxa"/>
            <w:right w:w="108" w:type="dxa"/>
          </w:tblCellMar>
        </w:tblPrEx>
        <w:trPr>
          <w:trHeight w:val="864"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D54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CC21">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智能协议处理模块处理模块处理模块</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BE77">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鑫泰格</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C913">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XTG-501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C2A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济南</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72E3">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5AF6">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台</w:t>
            </w:r>
          </w:p>
        </w:tc>
      </w:tr>
      <w:tr w14:paraId="6761E515">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E6E4">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979D">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漏水控制器</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3341">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鑫泰格</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40EC">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XTG-L100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5E65">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济南</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3F87">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FB2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个</w:t>
            </w:r>
          </w:p>
        </w:tc>
      </w:tr>
      <w:tr w14:paraId="7B13B2F1">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E3A82">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6BF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漏水检测绳</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A071">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鑫泰格</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E91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XTG-L105M</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E41D">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济南</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F99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D8A9">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根</w:t>
            </w:r>
          </w:p>
        </w:tc>
      </w:tr>
      <w:tr w14:paraId="4158470D">
        <w:tblPrEx>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C4C8CD">
            <w:pPr>
              <w:widowControl/>
              <w:jc w:val="left"/>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三、动环监控系统（2）</w:t>
            </w:r>
          </w:p>
        </w:tc>
      </w:tr>
      <w:tr w14:paraId="63A1CD46">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8ABF">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B71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物联网控制器</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21B6">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信锐</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FE9C">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SIC-3100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890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深圳</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A486">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5244">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套</w:t>
            </w:r>
          </w:p>
        </w:tc>
      </w:tr>
      <w:tr w14:paraId="0E8D0F59">
        <w:tblPrEx>
          <w:tblCellMar>
            <w:top w:w="0" w:type="dxa"/>
            <w:left w:w="108" w:type="dxa"/>
            <w:bottom w:w="0" w:type="dxa"/>
            <w:right w:w="108" w:type="dxa"/>
          </w:tblCellMar>
        </w:tblPrEx>
        <w:trPr>
          <w:trHeight w:val="576"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D6B6">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ED9F">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物联网采集主机</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96A6">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信锐</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2662">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SI-DAS-M1200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E73C3">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深圳</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EAE9">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DC24">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套</w:t>
            </w:r>
          </w:p>
        </w:tc>
      </w:tr>
      <w:tr w14:paraId="0C31B49F">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7AA2">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86A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漏水监测主机</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5F93">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信锐</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4DC4">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SI-WLD-M0-RJ45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16F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深圳</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F05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A3FB">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套</w:t>
            </w:r>
          </w:p>
        </w:tc>
      </w:tr>
      <w:tr w14:paraId="1E234469">
        <w:tblPrEx>
          <w:tblCellMar>
            <w:top w:w="0" w:type="dxa"/>
            <w:left w:w="108" w:type="dxa"/>
            <w:bottom w:w="0" w:type="dxa"/>
            <w:right w:w="108" w:type="dxa"/>
          </w:tblCellMar>
        </w:tblPrEx>
        <w:trPr>
          <w:trHeight w:val="576"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E27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4</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03F6">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温湿度传感器设备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E39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信锐</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D412">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SI-TH-M1-D485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7853">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深圳</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F46D">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BF21">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套</w:t>
            </w:r>
          </w:p>
        </w:tc>
      </w:tr>
      <w:tr w14:paraId="273AB458">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2784">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D5B6">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烟雾传感器</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6A0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信锐</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703F">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JTY-GD-T12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1BB2">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深圳</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14A6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7</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9AAC">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套</w:t>
            </w:r>
          </w:p>
        </w:tc>
      </w:tr>
      <w:tr w14:paraId="710107C2">
        <w:tblPrEx>
          <w:tblCellMar>
            <w:top w:w="0" w:type="dxa"/>
            <w:left w:w="108" w:type="dxa"/>
            <w:bottom w:w="0" w:type="dxa"/>
            <w:right w:w="108" w:type="dxa"/>
          </w:tblCellMar>
        </w:tblPrEx>
        <w:trPr>
          <w:trHeight w:val="576"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513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6146">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蓄电池监测终端</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952C">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信锐</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6B3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SI-BA-HMI-7</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DEBD">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深圳</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CB61">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3675">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套</w:t>
            </w:r>
          </w:p>
        </w:tc>
      </w:tr>
      <w:tr w14:paraId="4400D66B">
        <w:tblPrEx>
          <w:tblCellMar>
            <w:top w:w="0" w:type="dxa"/>
            <w:left w:w="108" w:type="dxa"/>
            <w:bottom w:w="0" w:type="dxa"/>
            <w:right w:w="108" w:type="dxa"/>
          </w:tblCellMar>
        </w:tblPrEx>
        <w:trPr>
          <w:trHeight w:val="576"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94D6">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BD37">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电流霍尔传感器</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E144">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信锐</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B1F7">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SI-BA-CT-200A</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166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深圳</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CE8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F73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套</w:t>
            </w:r>
          </w:p>
        </w:tc>
      </w:tr>
      <w:tr w14:paraId="7743E3C5">
        <w:tblPrEx>
          <w:tblCellMar>
            <w:top w:w="0" w:type="dxa"/>
            <w:left w:w="108" w:type="dxa"/>
            <w:bottom w:w="0" w:type="dxa"/>
            <w:right w:w="108" w:type="dxa"/>
          </w:tblCellMar>
        </w:tblPrEx>
        <w:trPr>
          <w:trHeight w:val="576"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8DC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8</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F882">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蓄电池监测模块</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7383">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信锐</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2BB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SI-BA-DTS-12V</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4ED2">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深圳</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965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40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8A4F">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个</w:t>
            </w:r>
          </w:p>
        </w:tc>
      </w:tr>
      <w:tr w14:paraId="67A958FE">
        <w:tblPrEx>
          <w:tblCellMar>
            <w:top w:w="0" w:type="dxa"/>
            <w:left w:w="108" w:type="dxa"/>
            <w:bottom w:w="0" w:type="dxa"/>
            <w:right w:w="108" w:type="dxa"/>
          </w:tblCellMar>
        </w:tblPrEx>
        <w:trPr>
          <w:trHeight w:val="576"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EC1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E013">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蓄电池监测模块</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36F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信锐</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4D3C">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SI-BA-AG-240U</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CB8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深圳</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57AF">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934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个</w:t>
            </w:r>
          </w:p>
        </w:tc>
      </w:tr>
      <w:tr w14:paraId="0832798A">
        <w:tblPrEx>
          <w:tblCellMar>
            <w:top w:w="0" w:type="dxa"/>
            <w:left w:w="108" w:type="dxa"/>
            <w:bottom w:w="0" w:type="dxa"/>
            <w:right w:w="108" w:type="dxa"/>
          </w:tblCellMar>
        </w:tblPrEx>
        <w:trPr>
          <w:trHeight w:val="576"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03A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0A45">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可变线序采集器</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CDA9">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信锐</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A903">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SI-DAS-OYLINK-P2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78B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深圳</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ABF1">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00A5">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个</w:t>
            </w:r>
          </w:p>
        </w:tc>
      </w:tr>
      <w:tr w14:paraId="07A14483">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D66A1">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DCB3">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门禁系统</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A37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大华</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C401">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人脸识别一体机</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5327">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浙江</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AB26">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3</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C28C">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台</w:t>
            </w:r>
          </w:p>
        </w:tc>
      </w:tr>
      <w:tr w14:paraId="2B3632EE">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0C49">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3D4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摄像机</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0186">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大华</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29A7">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球机</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B972">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浙江</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29B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8</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79D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台</w:t>
            </w:r>
          </w:p>
        </w:tc>
      </w:tr>
      <w:tr w14:paraId="6A6378B3">
        <w:tblPrEx>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4C97AC">
            <w:pPr>
              <w:widowControl/>
              <w:jc w:val="left"/>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四、不间断电源系统</w:t>
            </w:r>
          </w:p>
        </w:tc>
      </w:tr>
      <w:tr w14:paraId="4D175A97">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555B">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2DD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UPS电源主机</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852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山顿</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F08B">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FX3360K</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EF1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惠州</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3E05">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23C6">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台</w:t>
            </w:r>
          </w:p>
        </w:tc>
      </w:tr>
      <w:tr w14:paraId="2BE824C8">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2FD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34E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UPS电池</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6E0A">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山顿</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539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12V100AH</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BF84">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惠州</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07DD">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64</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8C1D">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块</w:t>
            </w:r>
          </w:p>
        </w:tc>
      </w:tr>
      <w:tr w14:paraId="011C8E33">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C40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234D">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电池柜</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03E3">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山顿</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D6D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97A5">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惠州</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639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7399">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个</w:t>
            </w:r>
          </w:p>
        </w:tc>
      </w:tr>
      <w:tr w14:paraId="5E26DE00">
        <w:tblPrEx>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87F74B">
            <w:pPr>
              <w:widowControl/>
              <w:jc w:val="left"/>
              <w:textAlignment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lang w:bidi="ar"/>
              </w:rPr>
              <w:t>五、其他设备</w:t>
            </w:r>
          </w:p>
        </w:tc>
      </w:tr>
      <w:tr w14:paraId="176E875A">
        <w:tblPrEx>
          <w:tblCellMar>
            <w:top w:w="0" w:type="dxa"/>
            <w:left w:w="108" w:type="dxa"/>
            <w:bottom w:w="0" w:type="dxa"/>
            <w:right w:w="108" w:type="dxa"/>
          </w:tblCellMar>
        </w:tblPrEx>
        <w:trPr>
          <w:trHeight w:val="576"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7E91">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4EFB">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多功能移动护理车</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9F8B">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诺博</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5F5B">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X4000E</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E0F3">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深圳</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C1A3">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719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个</w:t>
            </w:r>
          </w:p>
        </w:tc>
      </w:tr>
      <w:tr w14:paraId="43E50DFF">
        <w:tblPrEx>
          <w:tblCellMar>
            <w:top w:w="0" w:type="dxa"/>
            <w:left w:w="108" w:type="dxa"/>
            <w:bottom w:w="0" w:type="dxa"/>
            <w:right w:w="108" w:type="dxa"/>
          </w:tblCellMar>
        </w:tblPrEx>
        <w:trPr>
          <w:trHeight w:val="576"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B5014">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D494">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轻型移动医生车</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E5EB">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诺博</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2C08">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X2000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0992">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深圳</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0EA4">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72EE">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个</w:t>
            </w:r>
          </w:p>
        </w:tc>
      </w:tr>
      <w:tr w14:paraId="3DF8AF7B">
        <w:tblPrEx>
          <w:tblCellMar>
            <w:top w:w="0" w:type="dxa"/>
            <w:left w:w="108" w:type="dxa"/>
            <w:bottom w:w="0" w:type="dxa"/>
            <w:right w:w="108" w:type="dxa"/>
          </w:tblCellMar>
        </w:tblPrEx>
        <w:trPr>
          <w:trHeight w:val="288"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BAF1">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3</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7815">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移动客户端</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90DF">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富立叶</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B3A5">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莲花F760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ABDC">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西安</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1ED7">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20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0B20">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bidi="ar"/>
              </w:rPr>
              <w:t>个</w:t>
            </w:r>
          </w:p>
        </w:tc>
      </w:tr>
    </w:tbl>
    <w:p w14:paraId="0870C80C">
      <w:pPr>
        <w:rPr>
          <w:rFonts w:asciiTheme="minorEastAsia" w:hAnsiTheme="minorEastAsia" w:eastAsiaTheme="minorEastAsia" w:cstheme="minorEastAsia"/>
        </w:rPr>
      </w:pPr>
    </w:p>
    <w:p w14:paraId="69B716F9">
      <w:pPr>
        <w:pStyle w:val="58"/>
        <w:numPr>
          <w:ilvl w:val="0"/>
          <w:numId w:val="7"/>
        </w:numPr>
        <w:spacing w:before="90" w:line="182" w:lineRule="auto"/>
        <w:ind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b/>
          <w:bCs/>
          <w:spacing w:val="-1"/>
          <w:szCs w:val="21"/>
        </w:rPr>
        <w:t>具体服务要求</w:t>
      </w:r>
    </w:p>
    <w:p w14:paraId="2FF94B83">
      <w:pPr>
        <w:widowControl/>
        <w:jc w:val="left"/>
        <w:rPr>
          <w:rFonts w:asciiTheme="minorEastAsia" w:hAnsiTheme="minorEastAsia" w:eastAsiaTheme="minorEastAsia" w:cstheme="minorEastAsia"/>
          <w:b/>
          <w:bCs/>
          <w:snapToGrid w:val="0"/>
          <w:color w:val="000000"/>
          <w:szCs w:val="21"/>
        </w:rPr>
      </w:pPr>
      <w:bookmarkStart w:id="0" w:name="_Hlk213159808"/>
      <w:r>
        <w:rPr>
          <w:rFonts w:hint="eastAsia" w:asciiTheme="minorEastAsia" w:hAnsiTheme="minorEastAsia" w:eastAsiaTheme="minorEastAsia" w:cstheme="minorEastAsia"/>
          <w:b/>
          <w:bCs/>
          <w:snapToGrid w:val="0"/>
          <w:color w:val="000000"/>
          <w:szCs w:val="21"/>
        </w:rPr>
        <w:t>1、精密空调系统维护服务</w:t>
      </w:r>
    </w:p>
    <w:p w14:paraId="09D2C080">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定期巡检与保养</w:t>
      </w:r>
    </w:p>
    <w:p w14:paraId="752FB528">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月度巡检（每月至少1次）</w:t>
      </w:r>
    </w:p>
    <w:p w14:paraId="4245A463">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设备状态检查：查看空调室内外机运行噪音、振动情况，检查压缩机、风机、加湿器等核心部件运行状态，确认无异常发热、渗漏；</w:t>
      </w:r>
    </w:p>
    <w:p w14:paraId="04C03054">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参数校准：使用专业设备检测机房温湿度，对比空调显示数据，校准温湿度传感器，确保控制精度偏差不超过 ±1℃/±5%；</w:t>
      </w:r>
    </w:p>
    <w:p w14:paraId="5C0AA922">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基础清洁：清洗空调滤网、蒸发器翅片，清理室外机散热片杂物，避免因堵塞影响制冷效率；</w:t>
      </w:r>
    </w:p>
    <w:p w14:paraId="2007540C">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数据记录：记录空调运行参数（如出风口温度、工作电流、制冷剂压力），更新《设备运维台账》。</w:t>
      </w:r>
    </w:p>
    <w:p w14:paraId="543009E7">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每季度保养（每3个月至少1次）</w:t>
      </w:r>
    </w:p>
    <w:p w14:paraId="51F8CFF0">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部件深度检查：拆解检查空调电气接线端子，紧固松动接头，检测绝缘电阻；检查加湿器电极、水位传感器，更换老化的水位探针或滤芯；</w:t>
      </w:r>
    </w:p>
    <w:p w14:paraId="514E0F0A">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制冷剂维护：检测制冷剂管路密封性，补充泄漏点，按需添加适配制冷剂（科华、维迪品牌专用型号），确保压力符合设备标准；</w:t>
      </w:r>
    </w:p>
    <w:p w14:paraId="3AA3DF34">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风机维护：清洁风机轴承，添加专用润滑油，检查风机皮带松紧度，更换老化皮带。</w:t>
      </w:r>
    </w:p>
    <w:p w14:paraId="3BB6AF4C">
      <w:pPr>
        <w:widowControl/>
        <w:spacing w:line="360" w:lineRule="auto"/>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半年度全检（每年至少2次）</w:t>
      </w:r>
    </w:p>
    <w:p w14:paraId="6A6FD58B">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系统性能测试：模拟机房高负荷场景，测试空调制冷量、除湿 / 加湿能力，确保满足机房散热与湿度调节需求；</w:t>
      </w:r>
    </w:p>
    <w:p w14:paraId="5F6014A7">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部件寿命评估：对运行超 5 年的压缩机、电容等关键部件进行性能检测，出具寿命评估报告，提出更换建议；</w:t>
      </w:r>
    </w:p>
    <w:p w14:paraId="04053EBC">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系统优化：根据全年运行数据，调整空调运行模式（如夏季制冷优先级、冬季节能策略），提升运行效率。</w:t>
      </w:r>
    </w:p>
    <w:p w14:paraId="584473A2">
      <w:pPr>
        <w:widowControl/>
        <w:spacing w:line="360" w:lineRule="auto"/>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故障应急处理</w:t>
      </w:r>
    </w:p>
    <w:p w14:paraId="13689DC0">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故障响应：接到故障通知后，按 “海淀院区1小时、昌平院区2小时” 抵达现场，优先处理影响机房环境的故障（如空调停机、温湿度失控）；重大故障（如压缩机失效、管路泄漏）：立即启动备用空调保障机房环境，24 小时内完成备件调配与更换，修复后进行24小时试运行监测；故障修复：一般故障（如滤网堵塞、传感器故障）：4小时内完成修复，更换备件为原厂或同等认证产品（原厂专用温湿度传感器、滤网）；</w:t>
      </w:r>
    </w:p>
    <w:p w14:paraId="5514F6AD">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故障复盘：故障修复后3个工作日内提交《故障处理报告》，分析故障原因（如老化、操作不当），提出预防措施。</w:t>
      </w:r>
    </w:p>
    <w:p w14:paraId="2048291C">
      <w:pPr>
        <w:widowControl/>
        <w:spacing w:line="360" w:lineRule="auto"/>
        <w:jc w:val="left"/>
        <w:rPr>
          <w:rFonts w:asciiTheme="minorEastAsia" w:hAnsiTheme="minorEastAsia" w:eastAsiaTheme="minorEastAsia" w:cstheme="minorEastAsia"/>
          <w:b/>
          <w:bCs/>
          <w:snapToGrid w:val="0"/>
          <w:color w:val="000000"/>
          <w:szCs w:val="21"/>
        </w:rPr>
      </w:pPr>
      <w:r>
        <w:rPr>
          <w:rFonts w:hint="eastAsia" w:asciiTheme="minorEastAsia" w:hAnsiTheme="minorEastAsia" w:eastAsiaTheme="minorEastAsia" w:cstheme="minorEastAsia"/>
          <w:b/>
          <w:bCs/>
          <w:snapToGrid w:val="0"/>
          <w:color w:val="000000"/>
          <w:szCs w:val="21"/>
        </w:rPr>
        <w:t>2、UPS 不间断电源维护服务</w:t>
      </w:r>
    </w:p>
    <w:p w14:paraId="0B5DDDFC">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定期巡检与保养</w:t>
      </w:r>
    </w:p>
    <w:p w14:paraId="2B19B29D">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月度巡检（每月至少1次）</w:t>
      </w:r>
    </w:p>
    <w:p w14:paraId="13E5EF01">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运行状态检查：查看 UPS 主机显示屏，确认输入 / 输出电压（220V±2%）、电流、频率等参数正常，无过载、报警提示；</w:t>
      </w:r>
    </w:p>
    <w:p w14:paraId="770EB527">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电池组检查：测量电池单体电压（正常范围 12.0 - 13.5V），检查电池外观无鼓包、漏液，连接线无松动、腐蚀；</w:t>
      </w:r>
    </w:p>
    <w:p w14:paraId="0A48976D">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环境检查：清理 UPS 机柜内灰尘，检查散热风扇运行正常，确保机柜通风良好。</w:t>
      </w:r>
    </w:p>
    <w:p w14:paraId="1DE5E6A0">
      <w:pPr>
        <w:widowControl/>
        <w:spacing w:line="360" w:lineRule="auto"/>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季度保养（每3个月至少1次）</w:t>
      </w:r>
    </w:p>
    <w:p w14:paraId="17CD3A2E">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性能测试：进行 UPS 切换测试（市电 / 电池模式），确保切换时间≤10ms，无中断供电；</w:t>
      </w:r>
    </w:p>
    <w:p w14:paraId="373DB713">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电池维护：对电池组进行均衡充电，激活衰减电池容量，记录充电曲线，评估电池健康状态；</w:t>
      </w:r>
    </w:p>
    <w:p w14:paraId="55A52EDD">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部件检查：检查 UPS 逆变器、整流器模块运行温度，检测电容、电阻等元件无老化迹象。</w:t>
      </w:r>
    </w:p>
    <w:p w14:paraId="3D03C1C2">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半年度全检（每年至少2次）</w:t>
      </w:r>
    </w:p>
    <w:p w14:paraId="542CF16A">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电池容量测试：采用专业放电设备对电池组进行 10 小时率放电测试，确保后备供电时间≥30 分钟，若单节电池容量衰减超 20%，提出更换建议；</w:t>
      </w:r>
    </w:p>
    <w:p w14:paraId="5B36435A">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系统校准：校准 UPS 电压、电流检测模块，确保计量精度符合行业标准；</w:t>
      </w:r>
    </w:p>
    <w:p w14:paraId="4BC2B759">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固件升级：根据厂家最新固件版本，升级 UPS 控制程序，修复已知漏洞，提升系统稳定性。</w:t>
      </w:r>
    </w:p>
    <w:p w14:paraId="0800C181">
      <w:pPr>
        <w:widowControl/>
        <w:spacing w:line="360" w:lineRule="auto"/>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故障应急处理</w:t>
      </w:r>
    </w:p>
    <w:p w14:paraId="200C221F">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故障响应：市电中断时若 UPS 无法切换至电池模式，或出现过载、短路报警，1 小时内（海淀院区）/2 小时内（昌平院区）抵达现场；</w:t>
      </w:r>
    </w:p>
    <w:p w14:paraId="0C85B1D7">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故障修复：一般故障（如风扇故障、报警误报）：4 小时内更换部件，恢复正常运行；重大故障（如逆变器损坏、电池组失效）：立即启用备用 UPS（若有），24 小时内完成核心部件更换，修复后进行72 小时带载测试；</w:t>
      </w:r>
    </w:p>
    <w:p w14:paraId="40797595">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预案优化：根据故障案例，更新《UPS 应急供电预案》，定期协助医院开展断电演练。</w:t>
      </w:r>
    </w:p>
    <w:p w14:paraId="0EA09EDD">
      <w:pPr>
        <w:widowControl/>
        <w:spacing w:line="360" w:lineRule="auto"/>
        <w:jc w:val="left"/>
        <w:rPr>
          <w:rFonts w:asciiTheme="minorEastAsia" w:hAnsiTheme="minorEastAsia" w:eastAsiaTheme="minorEastAsia" w:cstheme="minorEastAsia"/>
          <w:b/>
          <w:bCs/>
          <w:snapToGrid w:val="0"/>
          <w:color w:val="000000"/>
          <w:szCs w:val="21"/>
        </w:rPr>
      </w:pPr>
      <w:r>
        <w:rPr>
          <w:rFonts w:hint="eastAsia" w:asciiTheme="minorEastAsia" w:hAnsiTheme="minorEastAsia" w:eastAsiaTheme="minorEastAsia" w:cstheme="minorEastAsia"/>
          <w:b/>
          <w:bCs/>
          <w:snapToGrid w:val="0"/>
          <w:color w:val="000000"/>
          <w:szCs w:val="21"/>
        </w:rPr>
        <w:t>3、动环监控系统维护服务</w:t>
      </w:r>
    </w:p>
    <w:p w14:paraId="42FB3B6F">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定期巡检与优化</w:t>
      </w:r>
    </w:p>
    <w:p w14:paraId="3B23DF2D">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月度巡检（每月至少</w:t>
      </w:r>
      <w:r>
        <w:rPr>
          <w:rFonts w:asciiTheme="minorEastAsia" w:hAnsiTheme="minorEastAsia" w:eastAsiaTheme="minorEastAsia" w:cstheme="minorEastAsia"/>
          <w:snapToGrid w:val="0"/>
          <w:color w:val="000000"/>
          <w:szCs w:val="21"/>
        </w:rPr>
        <w:t>1</w:t>
      </w:r>
      <w:r>
        <w:rPr>
          <w:rFonts w:hint="eastAsia" w:asciiTheme="minorEastAsia" w:hAnsiTheme="minorEastAsia" w:eastAsiaTheme="minorEastAsia" w:cstheme="minorEastAsia"/>
          <w:snapToGrid w:val="0"/>
          <w:color w:val="000000"/>
          <w:szCs w:val="21"/>
        </w:rPr>
        <w:t>次）</w:t>
      </w:r>
    </w:p>
    <w:p w14:paraId="6A35909F">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传感器检查：检查温湿度、电压电流、门禁等传感器安装牢固，数据采集正常，无离线、数据漂移现象；</w:t>
      </w:r>
    </w:p>
    <w:p w14:paraId="23FA0459">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平台监测：登录监控平台，查看数据传输延迟（≤10 秒），检查报警功能（如温湿度超标、门禁异常）是否正常触发，无漏报、误报；</w:t>
      </w:r>
    </w:p>
    <w:p w14:paraId="498582FA">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设备清洁：清洁传感器探头、摄像头镜头，确保数据采集准确、画面清晰。</w:t>
      </w:r>
    </w:p>
    <w:p w14:paraId="21FE96F3">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季度优化（每3个月至少1次）</w:t>
      </w:r>
    </w:p>
    <w:p w14:paraId="3EF1B1DB">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数据校准：使用标准设备校准温湿度传感器（精度 ±0.5℃/±3%）、电压电流传感器（精度 ±0.5%），修正数据偏差；</w:t>
      </w:r>
    </w:p>
    <w:p w14:paraId="594106A2">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平台维护：清理监控平台冗余数据，优化数据库性能，确保数据查询、报表生成流畅；</w:t>
      </w:r>
    </w:p>
    <w:p w14:paraId="2EA85A28">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功能检查：测试监控平台远程控制功能（如空调开关机、灯光控制），确保指令执行准确。</w:t>
      </w:r>
    </w:p>
    <w:p w14:paraId="0B977A30">
      <w:pPr>
        <w:widowControl/>
        <w:spacing w:line="360" w:lineRule="auto"/>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年度升级（每年至少 1 次）</w:t>
      </w:r>
    </w:p>
    <w:p w14:paraId="4D374C1E">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系统升级：更新监控软件版本，新增数据趋势分析、故障预测等功能（如基于历史数据预测空调滤网更换周期）；</w:t>
      </w:r>
    </w:p>
    <w:p w14:paraId="5D6FFC14">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设备评估：对运行超 8 年的传感器、监控主机进行性能评估，提出设备更新建议；</w:t>
      </w:r>
    </w:p>
    <w:p w14:paraId="2C267BA9">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报表优化：根据医院需求，定制《机房环境月度报告》《设备运行年度分析报告》，直观呈现运维数据。</w:t>
      </w:r>
    </w:p>
    <w:p w14:paraId="5B62C78D">
      <w:pPr>
        <w:widowControl/>
        <w:spacing w:line="360" w:lineRule="auto"/>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故障应急处理</w:t>
      </w:r>
    </w:p>
    <w:p w14:paraId="778E5F29">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故障响应：监控平台出现大面积传感器离线、数据中断，或报警功能失效，1 小时内（海淀院区）/2 小时内（昌平院区）抵达现场；</w:t>
      </w:r>
    </w:p>
    <w:p w14:paraId="2BE59A29">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故障修复：一般故障（如传感器故障、网络连接异常）：4 小时内修复或更换传感器，恢复数据传输；重大故障（如监控主机崩溃、平台软件故障）：立即启用备用监控终端（若有），24 小时内修复系统，恢复全部监控功能；</w:t>
      </w:r>
    </w:p>
    <w:p w14:paraId="2257F0E3">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数据恢复：若因故障导致监控数据丢失，协助医院从备份数据库恢复近 3 个月数据，确保数据完整性。</w:t>
      </w:r>
    </w:p>
    <w:p w14:paraId="22C0EDB6">
      <w:pPr>
        <w:widowControl/>
        <w:spacing w:line="360" w:lineRule="auto"/>
        <w:jc w:val="left"/>
        <w:rPr>
          <w:rFonts w:asciiTheme="minorEastAsia" w:hAnsiTheme="minorEastAsia" w:eastAsiaTheme="minorEastAsia" w:cstheme="minorEastAsia"/>
          <w:b/>
          <w:bCs/>
          <w:snapToGrid w:val="0"/>
          <w:color w:val="000000"/>
          <w:szCs w:val="21"/>
        </w:rPr>
      </w:pPr>
      <w:r>
        <w:rPr>
          <w:rFonts w:hint="eastAsia" w:asciiTheme="minorEastAsia" w:hAnsiTheme="minorEastAsia" w:eastAsiaTheme="minorEastAsia" w:cstheme="minorEastAsia"/>
          <w:b/>
          <w:bCs/>
          <w:snapToGrid w:val="0"/>
          <w:color w:val="000000"/>
          <w:szCs w:val="21"/>
        </w:rPr>
        <w:t>4、其他设备（多功能移动护理车、轻型移动医生车、移动客户端）</w:t>
      </w:r>
    </w:p>
    <w:p w14:paraId="5E6C3043">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定期维护：周期性深度保养定期维护侧重部件寿命延长与潜在故障排查，需按固定周期执行，由专业维修人员负责。</w:t>
      </w:r>
    </w:p>
    <w:p w14:paraId="77846FAD">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故障响应：监控平台出现大面积传感器离线、数据中断，或报警功能失效，1 小时内（海淀院区）/2 小时内（昌平院区）抵达现场；</w:t>
      </w:r>
    </w:p>
    <w:p w14:paraId="2EBD2AEC">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故障修复：一般故障（如传感器故障、网络连接异常）：4 小时内修复或更换传感器，恢复数据传输；重大故障（如主机崩溃、平台软件故障）：立即启用备用终端（若有），24 小时内修复系统，恢复全部功能。</w:t>
      </w:r>
      <w:bookmarkEnd w:id="0"/>
    </w:p>
    <w:p w14:paraId="2A2468F1">
      <w:pPr>
        <w:widowControl/>
        <w:spacing w:line="360" w:lineRule="auto"/>
        <w:jc w:val="left"/>
        <w:rPr>
          <w:rFonts w:asciiTheme="minorEastAsia" w:hAnsiTheme="minorEastAsia" w:eastAsiaTheme="minorEastAsia" w:cstheme="minorEastAsia"/>
          <w:b/>
          <w:bCs/>
          <w:snapToGrid w:val="0"/>
          <w:color w:val="000000"/>
          <w:szCs w:val="21"/>
        </w:rPr>
      </w:pPr>
      <w:r>
        <w:rPr>
          <w:rFonts w:hint="eastAsia" w:asciiTheme="minorEastAsia" w:hAnsiTheme="minorEastAsia" w:eastAsiaTheme="minorEastAsia" w:cstheme="minorEastAsia"/>
          <w:b/>
          <w:bCs/>
          <w:snapToGrid w:val="0"/>
          <w:color w:val="000000"/>
          <w:szCs w:val="21"/>
        </w:rPr>
        <w:t>5、综合运维支持服务</w:t>
      </w:r>
    </w:p>
    <w:p w14:paraId="51DAAAC9">
      <w:pPr>
        <w:widowControl/>
        <w:spacing w:line="360" w:lineRule="auto"/>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人员培训与技术支持</w:t>
      </w:r>
    </w:p>
    <w:p w14:paraId="4CD6B490">
      <w:pPr>
        <w:pStyle w:val="9"/>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 xml:space="preserve">    人员配备：</w:t>
      </w:r>
      <w:r>
        <w:rPr>
          <w:szCs w:val="21"/>
        </w:rPr>
        <w:t>需拟</w:t>
      </w:r>
      <w:r>
        <w:rPr>
          <w:spacing w:val="-1"/>
          <w:szCs w:val="21"/>
        </w:rPr>
        <w:t xml:space="preserve">派 </w:t>
      </w:r>
      <w:r>
        <w:rPr>
          <w:rFonts w:hint="eastAsia"/>
          <w:spacing w:val="-1"/>
          <w:szCs w:val="21"/>
        </w:rPr>
        <w:t>1</w:t>
      </w:r>
      <w:r>
        <w:rPr>
          <w:spacing w:val="-1"/>
          <w:szCs w:val="21"/>
        </w:rPr>
        <w:t>名项目经理，且具有大专以上学历（含</w:t>
      </w:r>
      <w:r>
        <w:rPr>
          <w:spacing w:val="-5"/>
          <w:szCs w:val="21"/>
        </w:rPr>
        <w:t>大专及同等学历</w:t>
      </w:r>
      <w:r>
        <w:rPr>
          <w:spacing w:val="2"/>
          <w:szCs w:val="21"/>
        </w:rPr>
        <w:t>）</w:t>
      </w:r>
      <w:r>
        <w:rPr>
          <w:rFonts w:hint="eastAsia"/>
          <w:spacing w:val="2"/>
          <w:szCs w:val="21"/>
        </w:rPr>
        <w:t>。</w:t>
      </w:r>
    </w:p>
    <w:p w14:paraId="63D9E675">
      <w:pPr>
        <w:widowControl/>
        <w:spacing w:line="360" w:lineRule="auto"/>
        <w:ind w:firstLine="420" w:firstLineChars="200"/>
        <w:jc w:val="left"/>
        <w:rPr>
          <w:rFonts w:asciiTheme="minorEastAsia" w:hAnsiTheme="minorEastAsia" w:eastAsiaTheme="minorEastAsia" w:cstheme="minorEastAsia"/>
          <w:snapToGrid w:val="0"/>
          <w:color w:val="000000"/>
          <w:szCs w:val="21"/>
        </w:rPr>
      </w:pPr>
      <w:bookmarkStart w:id="1" w:name="_Hlk213160245"/>
      <w:r>
        <w:rPr>
          <w:rFonts w:hint="eastAsia" w:asciiTheme="minorEastAsia" w:hAnsiTheme="minorEastAsia" w:eastAsiaTheme="minorEastAsia" w:cstheme="minorEastAsia"/>
          <w:snapToGrid w:val="0"/>
          <w:color w:val="000000"/>
          <w:szCs w:val="21"/>
        </w:rPr>
        <w:t>技术培训：每年开展 2 次集中培训，内容包括 “精密空调日常巡检”“UPS 电池维护”“动环监控平台操作” 等，培训后组织考核，确保医院运维人员掌握基础技能；</w:t>
      </w:r>
    </w:p>
    <w:p w14:paraId="396AF0CB">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一对一指导：全年提供不少于</w:t>
      </w:r>
      <w:r>
        <w:rPr>
          <w:rFonts w:asciiTheme="minorEastAsia" w:hAnsiTheme="minorEastAsia" w:eastAsiaTheme="minorEastAsia" w:cstheme="minorEastAsia"/>
          <w:snapToGrid w:val="0"/>
          <w:color w:val="000000"/>
          <w:szCs w:val="21"/>
        </w:rPr>
        <w:t>12</w:t>
      </w:r>
      <w:r>
        <w:rPr>
          <w:rFonts w:hint="eastAsia" w:asciiTheme="minorEastAsia" w:hAnsiTheme="minorEastAsia" w:eastAsiaTheme="minorEastAsia" w:cstheme="minorEastAsia"/>
          <w:snapToGrid w:val="0"/>
          <w:color w:val="000000"/>
          <w:szCs w:val="21"/>
        </w:rPr>
        <w:t xml:space="preserve"> 次（每月一次）现场指导，协助医院人员处理简单故障（如滤网更换、传感器校准），解答技术疑问；</w:t>
      </w:r>
    </w:p>
    <w:p w14:paraId="56A470DD">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远程支持：7×24 小时提供远程技术支持（电话、视频），协助排查非硬件类故障（如监控平台设置、UPS 参数调整）。</w:t>
      </w:r>
    </w:p>
    <w:bookmarkEnd w:id="1"/>
    <w:p w14:paraId="7D8AB54F">
      <w:pPr>
        <w:widowControl/>
        <w:spacing w:line="360" w:lineRule="auto"/>
        <w:jc w:val="left"/>
        <w:rPr>
          <w:rFonts w:asciiTheme="minorEastAsia" w:hAnsiTheme="minorEastAsia" w:eastAsiaTheme="minorEastAsia" w:cstheme="minorEastAsia"/>
          <w:b/>
          <w:bCs/>
          <w:snapToGrid w:val="0"/>
          <w:color w:val="000000"/>
          <w:szCs w:val="21"/>
        </w:rPr>
      </w:pPr>
      <w:r>
        <w:rPr>
          <w:rFonts w:hint="eastAsia" w:asciiTheme="minorEastAsia" w:hAnsiTheme="minorEastAsia" w:eastAsiaTheme="minorEastAsia" w:cstheme="minorEastAsia"/>
          <w:b/>
          <w:bCs/>
          <w:snapToGrid w:val="0"/>
          <w:color w:val="000000"/>
          <w:szCs w:val="21"/>
        </w:rPr>
        <w:t>6、合规与安全保障</w:t>
      </w:r>
    </w:p>
    <w:p w14:paraId="4D5A8E89">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合规检查：每季度对照《数据中心设计规范》《医疗机构数据安全管理办法》等标准，开展合规性自查，确保运维操作符合行业要求；</w:t>
      </w:r>
    </w:p>
    <w:p w14:paraId="261AFAE8">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安全管理：运维人员进入机房需遵守医院门禁制度，携带设备登记备案；接触机房数据需签署《数据保密协议》，严禁泄露医疗相关数据；</w:t>
      </w:r>
    </w:p>
    <w:p w14:paraId="741867A7">
      <w:pPr>
        <w:widowControl/>
        <w:spacing w:line="360" w:lineRule="auto"/>
        <w:ind w:firstLine="420" w:firstLineChars="200"/>
        <w:jc w:val="left"/>
        <w:rPr>
          <w:rFonts w:asciiTheme="minorEastAsia" w:hAnsiTheme="minorEastAsia" w:eastAsiaTheme="minorEastAsia" w:cstheme="minorEastAsia"/>
          <w:snapToGrid w:val="0"/>
          <w:color w:val="000000"/>
          <w:szCs w:val="21"/>
        </w:rPr>
      </w:pPr>
      <w:r>
        <w:rPr>
          <w:rFonts w:hint="eastAsia" w:asciiTheme="minorEastAsia" w:hAnsiTheme="minorEastAsia" w:eastAsiaTheme="minorEastAsia" w:cstheme="minorEastAsia"/>
          <w:snapToGrid w:val="0"/>
          <w:color w:val="000000"/>
          <w:szCs w:val="21"/>
        </w:rPr>
        <w:t>环境保障：运维操作时采取防尘措施（如佩戴防尘服、使用无尘工具），避免污染机房环境，操作后清理现场，确保无工具、备件遗留。</w:t>
      </w:r>
    </w:p>
    <w:p w14:paraId="674D558C">
      <w:pPr>
        <w:numPr>
          <w:ilvl w:val="0"/>
          <w:numId w:val="8"/>
        </w:numPr>
        <w:spacing w:before="318" w:line="183" w:lineRule="auto"/>
        <w:ind w:left="451"/>
        <w:rPr>
          <w:rFonts w:asciiTheme="minorEastAsia" w:hAnsiTheme="minorEastAsia" w:eastAsiaTheme="minorEastAsia" w:cstheme="minorEastAsia"/>
          <w:b/>
          <w:bCs/>
          <w:spacing w:val="-2"/>
          <w:szCs w:val="21"/>
        </w:rPr>
      </w:pPr>
      <w:r>
        <w:rPr>
          <w:rFonts w:hint="eastAsia" w:asciiTheme="minorEastAsia" w:hAnsiTheme="minorEastAsia" w:eastAsiaTheme="minorEastAsia" w:cstheme="minorEastAsia"/>
          <w:b/>
          <w:bCs/>
          <w:spacing w:val="-2"/>
          <w:szCs w:val="21"/>
        </w:rPr>
        <w:t>实施方案</w:t>
      </w:r>
    </w:p>
    <w:p w14:paraId="0707A5CB">
      <w:pPr>
        <w:spacing w:before="318" w:line="183" w:lineRule="auto"/>
        <w:ind w:left="451"/>
        <w:rPr>
          <w:rFonts w:hint="eastAsia" w:asciiTheme="minorEastAsia" w:hAnsiTheme="minorEastAsia" w:eastAsiaTheme="minorEastAsia" w:cstheme="minorEastAsia"/>
          <w:b/>
          <w:bCs/>
          <w:spacing w:val="-2"/>
          <w:szCs w:val="21"/>
        </w:rPr>
      </w:pPr>
    </w:p>
    <w:p w14:paraId="1CD7BAA5">
      <w:pPr>
        <w:widowControl/>
        <w:spacing w:line="360" w:lineRule="auto"/>
        <w:ind w:firstLine="420" w:firstLineChars="200"/>
        <w:jc w:val="left"/>
        <w:rPr>
          <w:rFonts w:asciiTheme="minorEastAsia" w:hAnsiTheme="minorEastAsia" w:eastAsiaTheme="minorEastAsia" w:cstheme="minorEastAsia"/>
          <w:snapToGrid w:val="0"/>
          <w:color w:val="000000"/>
          <w:szCs w:val="21"/>
        </w:rPr>
        <w:sectPr>
          <w:headerReference r:id="rId6" w:type="default"/>
          <w:footerReference r:id="rId7" w:type="default"/>
          <w:pgSz w:w="11907" w:h="16840"/>
          <w:pgMar w:top="1485" w:right="1096" w:bottom="1085" w:left="1092" w:header="1162" w:footer="709" w:gutter="0"/>
          <w:pgNumType w:fmt="decimal"/>
          <w:cols w:space="720" w:num="1"/>
        </w:sectPr>
      </w:pPr>
      <w:r>
        <w:rPr>
          <w:rFonts w:hint="eastAsia" w:asciiTheme="minorEastAsia" w:hAnsiTheme="minorEastAsia" w:eastAsiaTheme="minorEastAsia" w:cstheme="minorEastAsia"/>
          <w:snapToGrid w:val="0"/>
          <w:color w:val="000000"/>
          <w:szCs w:val="21"/>
        </w:rPr>
        <w:t>运维服务需求的理解，运维流程、运维管理体系的建立及运维工作实施方案:需对用户需求理解透彻，明确系统的建设要求和目标，运维流程、运维管理体系的建立及运维工作实施方案科学、合理、详尽、可行性强。</w:t>
      </w:r>
    </w:p>
    <w:p w14:paraId="1B201D2B">
      <w:pPr>
        <w:pStyle w:val="26"/>
        <w:ind w:left="0" w:leftChars="0" w:firstLine="0" w:firstLineChars="0"/>
        <w:rPr>
          <w:sz w:val="24"/>
        </w:rPr>
      </w:pPr>
    </w:p>
    <w:p w14:paraId="3A0BAA34">
      <w:pPr>
        <w:numPr>
          <w:ilvl w:val="0"/>
          <w:numId w:val="3"/>
        </w:numPr>
        <w:jc w:val="center"/>
        <w:rPr>
          <w:rFonts w:ascii="宋体" w:hAnsi="宋体" w:cs="宋体"/>
          <w:b/>
          <w:sz w:val="32"/>
          <w:szCs w:val="32"/>
        </w:rPr>
      </w:pPr>
      <w:r>
        <w:rPr>
          <w:rFonts w:hint="eastAsia" w:ascii="宋体" w:hAnsi="宋体"/>
          <w:b/>
          <w:sz w:val="36"/>
        </w:rPr>
        <w:t>拟签订的合同文本</w:t>
      </w:r>
    </w:p>
    <w:p w14:paraId="6C8D4D7A">
      <w:pPr>
        <w:ind w:firstLine="4176" w:firstLineChars="1300"/>
        <w:rPr>
          <w:rFonts w:ascii="宋体" w:hAnsi="宋体" w:cs="宋体"/>
          <w:b/>
          <w:sz w:val="32"/>
          <w:szCs w:val="32"/>
        </w:rPr>
      </w:pPr>
    </w:p>
    <w:p w14:paraId="03E23131">
      <w:pPr>
        <w:tabs>
          <w:tab w:val="left" w:pos="7350"/>
        </w:tabs>
        <w:spacing w:line="320" w:lineRule="exact"/>
        <w:rPr>
          <w:sz w:val="32"/>
        </w:rPr>
      </w:pPr>
    </w:p>
    <w:p w14:paraId="1785DF9F">
      <w:pPr>
        <w:autoSpaceDE w:val="0"/>
        <w:autoSpaceDN w:val="0"/>
        <w:spacing w:line="360" w:lineRule="auto"/>
        <w:jc w:val="center"/>
        <w:outlineLvl w:val="0"/>
        <w:rPr>
          <w:rFonts w:ascii="宋体" w:hAnsi="宋体" w:cs="宋体"/>
          <w:b/>
          <w:bCs/>
          <w:sz w:val="36"/>
          <w:szCs w:val="36"/>
        </w:rPr>
      </w:pPr>
      <w:r>
        <w:rPr>
          <w:rFonts w:hint="eastAsia" w:ascii="宋体" w:hAnsi="宋体"/>
          <w:b/>
          <w:sz w:val="36"/>
        </w:rPr>
        <w:t>硬件及桌面运维采购项目</w:t>
      </w:r>
      <w:r>
        <w:rPr>
          <w:rFonts w:hint="eastAsia" w:ascii="宋体" w:hAnsi="宋体" w:cs="宋体"/>
          <w:b/>
          <w:bCs/>
          <w:sz w:val="36"/>
          <w:szCs w:val="36"/>
          <w:lang w:val="zh-CN"/>
        </w:rPr>
        <w:t>合同</w:t>
      </w:r>
    </w:p>
    <w:p w14:paraId="05E0A0CB">
      <w:pPr>
        <w:tabs>
          <w:tab w:val="left" w:pos="7350"/>
        </w:tabs>
        <w:spacing w:line="320" w:lineRule="exact"/>
        <w:rPr>
          <w:rFonts w:ascii="宋体" w:hAnsi="宋体"/>
          <w:sz w:val="32"/>
        </w:rPr>
      </w:pPr>
    </w:p>
    <w:p w14:paraId="158550E8">
      <w:pPr>
        <w:tabs>
          <w:tab w:val="left" w:pos="7350"/>
        </w:tabs>
        <w:spacing w:line="240" w:lineRule="auto"/>
        <w:rPr>
          <w:rFonts w:ascii="宋体" w:hAnsi="宋体"/>
          <w:sz w:val="32"/>
        </w:rPr>
      </w:pPr>
    </w:p>
    <w:p w14:paraId="367DA0DC">
      <w:pPr>
        <w:tabs>
          <w:tab w:val="left" w:pos="7350"/>
        </w:tabs>
        <w:spacing w:line="240" w:lineRule="auto"/>
        <w:rPr>
          <w:rFonts w:ascii="宋体" w:hAnsi="宋体"/>
          <w:sz w:val="32"/>
        </w:rPr>
      </w:pPr>
    </w:p>
    <w:p w14:paraId="0C90E3D4">
      <w:pPr>
        <w:tabs>
          <w:tab w:val="left" w:pos="7350"/>
        </w:tabs>
        <w:spacing w:line="240" w:lineRule="auto"/>
        <w:rPr>
          <w:rFonts w:ascii="宋体" w:hAnsi="宋体"/>
          <w:sz w:val="32"/>
        </w:rPr>
      </w:pPr>
    </w:p>
    <w:p w14:paraId="2D80EF91">
      <w:pPr>
        <w:tabs>
          <w:tab w:val="left" w:pos="7350"/>
        </w:tabs>
        <w:spacing w:line="240" w:lineRule="auto"/>
        <w:rPr>
          <w:rFonts w:ascii="宋体" w:hAnsi="宋体"/>
          <w:sz w:val="32"/>
        </w:rPr>
      </w:pPr>
    </w:p>
    <w:p w14:paraId="46736651">
      <w:pPr>
        <w:tabs>
          <w:tab w:val="left" w:pos="7350"/>
        </w:tabs>
        <w:spacing w:line="240" w:lineRule="auto"/>
        <w:rPr>
          <w:rFonts w:ascii="宋体" w:hAnsi="宋体"/>
          <w:sz w:val="32"/>
        </w:rPr>
      </w:pPr>
    </w:p>
    <w:p w14:paraId="542906B1">
      <w:pPr>
        <w:tabs>
          <w:tab w:val="left" w:pos="7350"/>
        </w:tabs>
        <w:spacing w:line="320" w:lineRule="exact"/>
        <w:rPr>
          <w:rFonts w:ascii="宋体" w:hAnsi="宋体"/>
          <w:sz w:val="32"/>
        </w:rPr>
      </w:pPr>
    </w:p>
    <w:p w14:paraId="44F2A944">
      <w:pPr>
        <w:tabs>
          <w:tab w:val="left" w:pos="7350"/>
        </w:tabs>
        <w:spacing w:line="320" w:lineRule="exact"/>
        <w:rPr>
          <w:rFonts w:ascii="宋体" w:hAnsi="宋体"/>
          <w:sz w:val="32"/>
        </w:rPr>
      </w:pPr>
    </w:p>
    <w:p w14:paraId="2C545DEF">
      <w:pPr>
        <w:tabs>
          <w:tab w:val="left" w:pos="7350"/>
        </w:tabs>
        <w:spacing w:line="320" w:lineRule="exact"/>
        <w:rPr>
          <w:rFonts w:ascii="宋体" w:hAnsi="宋体"/>
          <w:sz w:val="32"/>
        </w:rPr>
      </w:pPr>
      <w:r>
        <w:rPr>
          <w:rFonts w:hint="eastAsia" w:ascii="宋体" w:hAnsi="宋体"/>
          <w:sz w:val="32"/>
        </w:rPr>
        <w:t>项目名称：硬件及桌面运维采购项目</w:t>
      </w:r>
    </w:p>
    <w:p w14:paraId="3BA4778F">
      <w:pPr>
        <w:tabs>
          <w:tab w:val="left" w:pos="1260"/>
        </w:tabs>
        <w:spacing w:line="320" w:lineRule="exact"/>
        <w:jc w:val="left"/>
        <w:rPr>
          <w:rFonts w:ascii="宋体" w:hAnsi="宋体"/>
          <w:spacing w:val="48"/>
          <w:sz w:val="32"/>
        </w:rPr>
      </w:pPr>
    </w:p>
    <w:p w14:paraId="2F8B8BB5">
      <w:pPr>
        <w:tabs>
          <w:tab w:val="left" w:pos="1260"/>
        </w:tabs>
        <w:spacing w:line="320" w:lineRule="exact"/>
        <w:jc w:val="left"/>
        <w:rPr>
          <w:rFonts w:ascii="宋体" w:hAnsi="宋体"/>
          <w:spacing w:val="48"/>
          <w:sz w:val="32"/>
        </w:rPr>
      </w:pPr>
      <w:r>
        <w:rPr>
          <w:rFonts w:hint="eastAsia" w:ascii="宋体" w:hAnsi="宋体"/>
          <w:spacing w:val="48"/>
          <w:sz w:val="32"/>
        </w:rPr>
        <w:t>委托人：北京大学第六医院</w:t>
      </w:r>
    </w:p>
    <w:p w14:paraId="177B61AB">
      <w:pPr>
        <w:tabs>
          <w:tab w:val="left" w:pos="1260"/>
        </w:tabs>
        <w:spacing w:line="320" w:lineRule="exact"/>
        <w:rPr>
          <w:rFonts w:ascii="宋体" w:hAnsi="宋体"/>
          <w:spacing w:val="48"/>
          <w:sz w:val="32"/>
        </w:rPr>
      </w:pPr>
    </w:p>
    <w:p w14:paraId="735E9876">
      <w:pPr>
        <w:spacing w:line="320" w:lineRule="exact"/>
        <w:rPr>
          <w:rFonts w:ascii="宋体" w:hAnsi="宋体"/>
          <w:sz w:val="32"/>
        </w:rPr>
      </w:pPr>
      <w:r>
        <w:rPr>
          <w:rFonts w:hint="eastAsia" w:ascii="宋体" w:hAnsi="宋体"/>
          <w:sz w:val="32"/>
        </w:rPr>
        <w:t xml:space="preserve">（甲方）  </w:t>
      </w:r>
    </w:p>
    <w:p w14:paraId="0F0BE1AE">
      <w:pPr>
        <w:spacing w:line="320" w:lineRule="exact"/>
        <w:rPr>
          <w:rFonts w:ascii="宋体" w:hAnsi="宋体"/>
          <w:sz w:val="32"/>
        </w:rPr>
      </w:pPr>
    </w:p>
    <w:p w14:paraId="55DD7899">
      <w:pPr>
        <w:spacing w:line="320" w:lineRule="exact"/>
        <w:rPr>
          <w:rFonts w:ascii="宋体" w:hAnsi="宋体"/>
          <w:spacing w:val="48"/>
          <w:sz w:val="32"/>
        </w:rPr>
      </w:pPr>
      <w:r>
        <w:rPr>
          <w:rFonts w:hint="eastAsia" w:ascii="宋体" w:hAnsi="宋体"/>
          <w:spacing w:val="48"/>
          <w:sz w:val="32"/>
        </w:rPr>
        <w:t>受托人：</w:t>
      </w:r>
    </w:p>
    <w:p w14:paraId="2C685BC0">
      <w:pPr>
        <w:spacing w:line="320" w:lineRule="exact"/>
        <w:rPr>
          <w:rFonts w:ascii="宋体" w:hAnsi="宋体"/>
          <w:sz w:val="32"/>
        </w:rPr>
      </w:pPr>
    </w:p>
    <w:p w14:paraId="3A94AA3E">
      <w:pPr>
        <w:spacing w:line="320" w:lineRule="exact"/>
        <w:rPr>
          <w:rFonts w:ascii="宋体" w:hAnsi="宋体"/>
          <w:sz w:val="32"/>
          <w:u w:val="single"/>
        </w:rPr>
      </w:pPr>
      <w:r>
        <w:rPr>
          <w:rFonts w:hint="eastAsia" w:ascii="宋体" w:hAnsi="宋体"/>
          <w:sz w:val="32"/>
        </w:rPr>
        <w:t xml:space="preserve">（乙方）  </w:t>
      </w:r>
    </w:p>
    <w:p w14:paraId="7453F006">
      <w:pPr>
        <w:spacing w:line="240" w:lineRule="auto"/>
        <w:rPr>
          <w:rFonts w:ascii="宋体" w:hAnsi="宋体"/>
          <w:sz w:val="32"/>
        </w:rPr>
      </w:pPr>
    </w:p>
    <w:p w14:paraId="532C1EC6">
      <w:pPr>
        <w:spacing w:line="240" w:lineRule="auto"/>
        <w:rPr>
          <w:rFonts w:ascii="宋体" w:hAnsi="宋体"/>
          <w:sz w:val="32"/>
        </w:rPr>
      </w:pPr>
    </w:p>
    <w:p w14:paraId="5EA570DD">
      <w:pPr>
        <w:spacing w:line="240" w:lineRule="auto"/>
        <w:rPr>
          <w:rFonts w:ascii="宋体" w:hAnsi="宋体"/>
          <w:sz w:val="32"/>
        </w:rPr>
      </w:pPr>
    </w:p>
    <w:p w14:paraId="0BE7AD73">
      <w:pPr>
        <w:rPr>
          <w:rFonts w:ascii="宋体" w:hAnsi="宋体"/>
          <w:sz w:val="32"/>
        </w:rPr>
      </w:pPr>
    </w:p>
    <w:p w14:paraId="51F5BC1D">
      <w:pPr>
        <w:rPr>
          <w:rFonts w:ascii="宋体" w:hAnsi="宋体"/>
          <w:sz w:val="32"/>
        </w:rPr>
      </w:pPr>
    </w:p>
    <w:p w14:paraId="5B3E8C3C">
      <w:pPr>
        <w:rPr>
          <w:rFonts w:ascii="宋体" w:hAnsi="宋体"/>
          <w:sz w:val="32"/>
        </w:rPr>
      </w:pPr>
      <w:r>
        <w:rPr>
          <w:rFonts w:hint="eastAsia" w:ascii="宋体" w:hAnsi="宋体"/>
          <w:sz w:val="32"/>
        </w:rPr>
        <w:t>签订地点：北京市</w:t>
      </w:r>
    </w:p>
    <w:p w14:paraId="0996C2A0">
      <w:pPr>
        <w:rPr>
          <w:rFonts w:ascii="宋体" w:hAnsi="宋体"/>
          <w:sz w:val="32"/>
        </w:rPr>
      </w:pPr>
    </w:p>
    <w:p w14:paraId="77B52C05">
      <w:pPr>
        <w:rPr>
          <w:rFonts w:ascii="宋体" w:hAnsi="宋体" w:cs="黑体"/>
          <w:sz w:val="24"/>
          <w:szCs w:val="24"/>
        </w:rPr>
      </w:pPr>
      <w:r>
        <w:rPr>
          <w:rFonts w:hint="eastAsia" w:ascii="宋体" w:hAnsi="宋体"/>
          <w:sz w:val="32"/>
        </w:rPr>
        <w:t>合同期限：    年   月   日  至   年   月   日</w:t>
      </w:r>
    </w:p>
    <w:p w14:paraId="7C66A8FC">
      <w:pPr>
        <w:rPr>
          <w:rFonts w:ascii="宋体" w:hAnsi="宋体" w:cs="新宋体"/>
          <w:sz w:val="24"/>
          <w:szCs w:val="24"/>
        </w:rPr>
      </w:pPr>
      <w:r>
        <w:rPr>
          <w:rFonts w:ascii="宋体" w:hAnsi="宋体" w:cs="新宋体"/>
          <w:sz w:val="24"/>
          <w:szCs w:val="24"/>
        </w:rPr>
        <w:br w:type="page"/>
      </w:r>
      <w:r>
        <w:rPr>
          <w:rFonts w:hint="eastAsia" w:ascii="宋体" w:hAnsi="宋体" w:cs="新宋体"/>
          <w:sz w:val="24"/>
          <w:szCs w:val="24"/>
        </w:rPr>
        <w:t xml:space="preserve">    经甲乙双方协商，就北京大学第六医院硬件及桌面运维采购项目事宜达成如下协议：</w:t>
      </w:r>
    </w:p>
    <w:p w14:paraId="096DBE6A">
      <w:pPr>
        <w:spacing w:line="360" w:lineRule="auto"/>
        <w:rPr>
          <w:rFonts w:ascii="宋体" w:hAnsi="宋体" w:cs="新宋体"/>
          <w:sz w:val="24"/>
          <w:szCs w:val="24"/>
        </w:rPr>
      </w:pPr>
    </w:p>
    <w:p w14:paraId="522EAD84">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第一条、服务期限</w:t>
      </w:r>
    </w:p>
    <w:p w14:paraId="63C385F4">
      <w:pPr>
        <w:spacing w:line="360" w:lineRule="auto"/>
        <w:ind w:left="239" w:leftChars="114" w:firstLine="240" w:firstLineChars="100"/>
        <w:rPr>
          <w:rFonts w:ascii="宋体" w:hAnsi="宋体" w:cs="新宋体"/>
          <w:sz w:val="24"/>
          <w:szCs w:val="24"/>
        </w:rPr>
      </w:pPr>
      <w:r>
        <w:rPr>
          <w:rFonts w:hint="eastAsia" w:ascii="宋体" w:hAnsi="宋体" w:cs="新宋体"/>
          <w:sz w:val="24"/>
          <w:szCs w:val="24"/>
        </w:rPr>
        <w:t>乙方为甲方提供服务，服务期限为：   年   月  日至   年   月  日。</w:t>
      </w:r>
    </w:p>
    <w:p w14:paraId="5EF6DC26">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第二条、运维服务要求</w:t>
      </w:r>
    </w:p>
    <w:p w14:paraId="3F6876F8">
      <w:pPr>
        <w:tabs>
          <w:tab w:val="left" w:pos="567"/>
        </w:tabs>
        <w:spacing w:line="360" w:lineRule="auto"/>
        <w:ind w:firstLine="482" w:firstLineChars="200"/>
        <w:outlineLvl w:val="2"/>
        <w:rPr>
          <w:rFonts w:ascii="宋体" w:hAnsi="宋体"/>
          <w:b/>
          <w:sz w:val="24"/>
          <w:szCs w:val="24"/>
        </w:rPr>
      </w:pPr>
      <w:r>
        <w:rPr>
          <w:rFonts w:hint="eastAsia" w:ascii="宋体" w:hAnsi="宋体"/>
          <w:b/>
          <w:sz w:val="24"/>
          <w:szCs w:val="24"/>
        </w:rPr>
        <w:t>1、技术服务要求</w:t>
      </w:r>
    </w:p>
    <w:tbl>
      <w:tblPr>
        <w:tblStyle w:val="28"/>
        <w:tblW w:w="0" w:type="auto"/>
        <w:tblInd w:w="8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4536"/>
        <w:gridCol w:w="709"/>
        <w:gridCol w:w="753"/>
      </w:tblGrid>
      <w:tr w14:paraId="0F40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5A8E7C7">
            <w:pPr>
              <w:spacing w:line="360" w:lineRule="auto"/>
              <w:jc w:val="center"/>
              <w:rPr>
                <w:rFonts w:ascii="宋体" w:hAnsi="宋体"/>
                <w:bCs/>
                <w:kern w:val="2"/>
                <w:sz w:val="24"/>
                <w:szCs w:val="24"/>
              </w:rPr>
            </w:pPr>
            <w:bookmarkStart w:id="2" w:name="OLE_LINK2"/>
            <w:r>
              <w:rPr>
                <w:rFonts w:hint="eastAsia" w:ascii="宋体" w:hAnsi="宋体" w:cs="宋体"/>
                <w:b/>
                <w:kern w:val="2"/>
                <w:sz w:val="24"/>
                <w:szCs w:val="24"/>
              </w:rPr>
              <w:t>产品名称</w:t>
            </w:r>
          </w:p>
        </w:tc>
        <w:tc>
          <w:tcPr>
            <w:tcW w:w="1701" w:type="dxa"/>
            <w:vAlign w:val="center"/>
          </w:tcPr>
          <w:p w14:paraId="5BD09568">
            <w:pPr>
              <w:spacing w:line="360" w:lineRule="auto"/>
              <w:jc w:val="center"/>
              <w:rPr>
                <w:rFonts w:ascii="宋体" w:hAnsi="宋体"/>
                <w:bCs/>
                <w:kern w:val="2"/>
                <w:sz w:val="24"/>
                <w:szCs w:val="24"/>
              </w:rPr>
            </w:pPr>
            <w:r>
              <w:rPr>
                <w:rFonts w:hint="eastAsia" w:ascii="宋体" w:hAnsi="宋体" w:cs="宋体"/>
                <w:b/>
                <w:kern w:val="2"/>
                <w:sz w:val="24"/>
                <w:szCs w:val="24"/>
              </w:rPr>
              <w:t>技术和性能参数名称</w:t>
            </w:r>
          </w:p>
        </w:tc>
        <w:tc>
          <w:tcPr>
            <w:tcW w:w="4536" w:type="dxa"/>
            <w:vAlign w:val="center"/>
          </w:tcPr>
          <w:p w14:paraId="6C00A7FF">
            <w:pPr>
              <w:spacing w:line="360" w:lineRule="auto"/>
              <w:jc w:val="center"/>
              <w:rPr>
                <w:rFonts w:ascii="宋体" w:hAnsi="宋体"/>
                <w:bCs/>
                <w:kern w:val="2"/>
                <w:sz w:val="24"/>
                <w:szCs w:val="24"/>
              </w:rPr>
            </w:pPr>
            <w:r>
              <w:rPr>
                <w:rFonts w:hint="eastAsia" w:ascii="宋体" w:hAnsi="宋体" w:cs="宋体"/>
                <w:b/>
                <w:kern w:val="2"/>
                <w:sz w:val="24"/>
                <w:szCs w:val="24"/>
              </w:rPr>
              <w:t>技术参数要求</w:t>
            </w:r>
          </w:p>
        </w:tc>
        <w:tc>
          <w:tcPr>
            <w:tcW w:w="709" w:type="dxa"/>
            <w:vAlign w:val="center"/>
          </w:tcPr>
          <w:p w14:paraId="7039CD15">
            <w:pPr>
              <w:spacing w:line="360" w:lineRule="auto"/>
              <w:jc w:val="center"/>
              <w:rPr>
                <w:rFonts w:ascii="宋体" w:hAnsi="宋体"/>
                <w:b/>
                <w:bCs/>
                <w:kern w:val="2"/>
                <w:sz w:val="24"/>
                <w:szCs w:val="24"/>
              </w:rPr>
            </w:pPr>
            <w:r>
              <w:rPr>
                <w:rFonts w:hint="eastAsia" w:ascii="宋体" w:hAnsi="宋体"/>
                <w:b/>
                <w:bCs/>
                <w:kern w:val="2"/>
                <w:sz w:val="24"/>
                <w:szCs w:val="24"/>
              </w:rPr>
              <w:t>单位</w:t>
            </w:r>
          </w:p>
        </w:tc>
        <w:tc>
          <w:tcPr>
            <w:tcW w:w="753" w:type="dxa"/>
            <w:vAlign w:val="center"/>
          </w:tcPr>
          <w:p w14:paraId="747D8ABF">
            <w:pPr>
              <w:spacing w:line="360" w:lineRule="auto"/>
              <w:jc w:val="center"/>
              <w:rPr>
                <w:rFonts w:ascii="宋体" w:hAnsi="宋体"/>
                <w:b/>
                <w:bCs/>
                <w:kern w:val="2"/>
                <w:sz w:val="24"/>
                <w:szCs w:val="24"/>
              </w:rPr>
            </w:pPr>
            <w:r>
              <w:rPr>
                <w:rFonts w:hint="eastAsia" w:ascii="宋体" w:hAnsi="宋体"/>
                <w:b/>
                <w:bCs/>
                <w:kern w:val="2"/>
                <w:sz w:val="24"/>
                <w:szCs w:val="24"/>
              </w:rPr>
              <w:t>数量</w:t>
            </w:r>
          </w:p>
        </w:tc>
      </w:tr>
      <w:tr w14:paraId="62D3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2F0885C">
            <w:pPr>
              <w:spacing w:line="360" w:lineRule="auto"/>
              <w:jc w:val="center"/>
              <w:rPr>
                <w:rFonts w:ascii="宋体" w:hAnsi="宋体"/>
                <w:bCs/>
                <w:kern w:val="2"/>
                <w:sz w:val="24"/>
                <w:szCs w:val="24"/>
              </w:rPr>
            </w:pPr>
            <w:r>
              <w:rPr>
                <w:rFonts w:hint="eastAsia" w:ascii="宋体" w:hAnsi="宋体" w:cs="宋体"/>
                <w:kern w:val="2"/>
                <w:sz w:val="24"/>
                <w:szCs w:val="24"/>
              </w:rPr>
              <w:t>硬件及桌面运维服务</w:t>
            </w:r>
          </w:p>
        </w:tc>
        <w:tc>
          <w:tcPr>
            <w:tcW w:w="1701" w:type="dxa"/>
            <w:vAlign w:val="center"/>
          </w:tcPr>
          <w:p w14:paraId="20AC112F">
            <w:pPr>
              <w:spacing w:line="360" w:lineRule="auto"/>
              <w:jc w:val="center"/>
              <w:rPr>
                <w:rFonts w:ascii="宋体" w:hAnsi="宋体"/>
                <w:bCs/>
                <w:kern w:val="2"/>
                <w:sz w:val="24"/>
                <w:szCs w:val="24"/>
              </w:rPr>
            </w:pPr>
            <w:r>
              <w:rPr>
                <w:rFonts w:hint="eastAsia" w:ascii="宋体" w:hAnsi="宋体" w:cs="宋体"/>
                <w:kern w:val="2"/>
                <w:sz w:val="24"/>
                <w:szCs w:val="24"/>
              </w:rPr>
              <w:t>故障应急服务</w:t>
            </w:r>
          </w:p>
        </w:tc>
        <w:tc>
          <w:tcPr>
            <w:tcW w:w="4536" w:type="dxa"/>
          </w:tcPr>
          <w:p w14:paraId="041BF0CD">
            <w:pPr>
              <w:spacing w:line="360" w:lineRule="auto"/>
              <w:rPr>
                <w:rFonts w:ascii="宋体" w:hAnsi="宋体"/>
                <w:bCs/>
                <w:kern w:val="2"/>
                <w:sz w:val="24"/>
                <w:szCs w:val="24"/>
              </w:rPr>
            </w:pPr>
            <w:r>
              <w:rPr>
                <w:rFonts w:hint="eastAsia" w:ascii="宋体" w:hAnsi="宋体" w:cs="宋体"/>
                <w:kern w:val="2"/>
                <w:sz w:val="24"/>
                <w:szCs w:val="24"/>
              </w:rPr>
              <w:t>硬件故障响应时间为海淀院区</w:t>
            </w:r>
            <w:r>
              <w:rPr>
                <w:rFonts w:ascii="宋体" w:hAnsi="宋体" w:cs="宋体"/>
                <w:kern w:val="2"/>
                <w:sz w:val="24"/>
                <w:szCs w:val="24"/>
              </w:rPr>
              <w:t>1</w:t>
            </w:r>
            <w:r>
              <w:rPr>
                <w:rFonts w:hint="eastAsia" w:ascii="宋体" w:hAnsi="宋体" w:cs="宋体"/>
                <w:kern w:val="2"/>
                <w:sz w:val="24"/>
                <w:szCs w:val="24"/>
              </w:rPr>
              <w:t>小时，昌平院区2小时内到达现场，一般故障4小时内故障排除，重大故障2</w:t>
            </w:r>
            <w:r>
              <w:rPr>
                <w:rFonts w:ascii="宋体" w:hAnsi="宋体" w:cs="宋体"/>
                <w:kern w:val="2"/>
                <w:sz w:val="24"/>
                <w:szCs w:val="24"/>
              </w:rPr>
              <w:t>4</w:t>
            </w:r>
            <w:r>
              <w:rPr>
                <w:rFonts w:hint="eastAsia" w:ascii="宋体" w:hAnsi="宋体" w:cs="宋体"/>
                <w:kern w:val="2"/>
                <w:sz w:val="24"/>
                <w:szCs w:val="24"/>
              </w:rPr>
              <w:t>小时内完成核心部件更换。</w:t>
            </w:r>
          </w:p>
        </w:tc>
        <w:tc>
          <w:tcPr>
            <w:tcW w:w="709" w:type="dxa"/>
            <w:vMerge w:val="restart"/>
            <w:vAlign w:val="center"/>
          </w:tcPr>
          <w:p w14:paraId="3EF188D8">
            <w:pPr>
              <w:spacing w:line="360" w:lineRule="auto"/>
              <w:jc w:val="center"/>
              <w:rPr>
                <w:rFonts w:ascii="宋体" w:hAnsi="宋体"/>
                <w:bCs/>
                <w:kern w:val="2"/>
                <w:sz w:val="24"/>
                <w:szCs w:val="24"/>
              </w:rPr>
            </w:pPr>
            <w:r>
              <w:rPr>
                <w:rFonts w:hint="eastAsia" w:ascii="宋体" w:hAnsi="宋体"/>
                <w:bCs/>
                <w:kern w:val="2"/>
                <w:sz w:val="24"/>
                <w:szCs w:val="24"/>
              </w:rPr>
              <w:t>年</w:t>
            </w:r>
          </w:p>
        </w:tc>
        <w:tc>
          <w:tcPr>
            <w:tcW w:w="753" w:type="dxa"/>
            <w:vMerge w:val="restart"/>
            <w:vAlign w:val="center"/>
          </w:tcPr>
          <w:p w14:paraId="531B8BED">
            <w:pPr>
              <w:spacing w:line="360" w:lineRule="auto"/>
              <w:jc w:val="center"/>
              <w:rPr>
                <w:rFonts w:ascii="宋体" w:hAnsi="宋体"/>
                <w:bCs/>
                <w:kern w:val="2"/>
                <w:sz w:val="24"/>
                <w:szCs w:val="24"/>
              </w:rPr>
            </w:pPr>
            <w:r>
              <w:rPr>
                <w:rFonts w:hint="eastAsia" w:ascii="宋体" w:hAnsi="宋体"/>
                <w:bCs/>
                <w:kern w:val="2"/>
                <w:sz w:val="24"/>
                <w:szCs w:val="24"/>
              </w:rPr>
              <w:t>1</w:t>
            </w:r>
          </w:p>
        </w:tc>
      </w:tr>
      <w:tr w14:paraId="2D7C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77003BA3">
            <w:pPr>
              <w:spacing w:line="360" w:lineRule="auto"/>
              <w:rPr>
                <w:rFonts w:ascii="宋体" w:hAnsi="宋体"/>
                <w:bCs/>
                <w:kern w:val="2"/>
                <w:sz w:val="24"/>
                <w:szCs w:val="24"/>
              </w:rPr>
            </w:pPr>
          </w:p>
        </w:tc>
        <w:tc>
          <w:tcPr>
            <w:tcW w:w="1701" w:type="dxa"/>
            <w:vAlign w:val="center"/>
          </w:tcPr>
          <w:p w14:paraId="5EFCDDFD">
            <w:pPr>
              <w:spacing w:line="360" w:lineRule="auto"/>
              <w:jc w:val="center"/>
              <w:rPr>
                <w:rFonts w:ascii="宋体" w:hAnsi="宋体"/>
                <w:bCs/>
                <w:kern w:val="2"/>
                <w:sz w:val="24"/>
                <w:szCs w:val="24"/>
              </w:rPr>
            </w:pPr>
            <w:r>
              <w:rPr>
                <w:rFonts w:hint="eastAsia" w:ascii="宋体" w:hAnsi="宋体" w:cs="宋体"/>
                <w:kern w:val="2"/>
                <w:sz w:val="24"/>
                <w:szCs w:val="24"/>
              </w:rPr>
              <w:t>日常运维服务内容</w:t>
            </w:r>
          </w:p>
        </w:tc>
        <w:tc>
          <w:tcPr>
            <w:tcW w:w="4536" w:type="dxa"/>
          </w:tcPr>
          <w:p w14:paraId="25DD23D4">
            <w:pPr>
              <w:pStyle w:val="58"/>
              <w:widowControl/>
              <w:numPr>
                <w:ilvl w:val="0"/>
                <w:numId w:val="9"/>
              </w:numPr>
              <w:spacing w:line="360" w:lineRule="auto"/>
              <w:ind w:firstLineChars="0"/>
              <w:jc w:val="left"/>
              <w:rPr>
                <w:rFonts w:ascii="宋体" w:hAnsi="宋体" w:eastAsia="宋体"/>
                <w:kern w:val="2"/>
                <w:sz w:val="24"/>
                <w:szCs w:val="24"/>
              </w:rPr>
            </w:pPr>
            <w:r>
              <w:rPr>
                <w:rFonts w:hint="eastAsia" w:ascii="宋体" w:hAnsi="宋体" w:eastAsia="宋体"/>
                <w:kern w:val="2"/>
                <w:sz w:val="24"/>
                <w:szCs w:val="24"/>
              </w:rPr>
              <w:t>精密空调系统维护服务</w:t>
            </w:r>
          </w:p>
          <w:p w14:paraId="2FB44B97">
            <w:pPr>
              <w:pStyle w:val="58"/>
              <w:widowControl/>
              <w:numPr>
                <w:ilvl w:val="0"/>
                <w:numId w:val="9"/>
              </w:numPr>
              <w:spacing w:line="360" w:lineRule="auto"/>
              <w:ind w:firstLineChars="0"/>
              <w:jc w:val="left"/>
              <w:rPr>
                <w:rFonts w:ascii="宋体" w:hAnsi="宋体" w:eastAsia="宋体"/>
                <w:kern w:val="2"/>
                <w:sz w:val="24"/>
                <w:szCs w:val="24"/>
              </w:rPr>
            </w:pPr>
            <w:r>
              <w:rPr>
                <w:rFonts w:hint="eastAsia" w:ascii="宋体" w:hAnsi="宋体" w:eastAsia="宋体"/>
                <w:kern w:val="2"/>
                <w:sz w:val="24"/>
                <w:szCs w:val="24"/>
              </w:rPr>
              <w:t>UPS不间断电源维护服务</w:t>
            </w:r>
          </w:p>
          <w:p w14:paraId="32C4B5F3">
            <w:pPr>
              <w:pStyle w:val="58"/>
              <w:widowControl/>
              <w:numPr>
                <w:ilvl w:val="0"/>
                <w:numId w:val="9"/>
              </w:numPr>
              <w:spacing w:line="360" w:lineRule="auto"/>
              <w:ind w:firstLineChars="0"/>
              <w:jc w:val="left"/>
              <w:rPr>
                <w:rFonts w:ascii="宋体" w:hAnsi="宋体" w:eastAsia="宋体"/>
                <w:kern w:val="2"/>
                <w:sz w:val="24"/>
                <w:szCs w:val="24"/>
              </w:rPr>
            </w:pPr>
            <w:r>
              <w:rPr>
                <w:rFonts w:hint="eastAsia" w:ascii="宋体" w:hAnsi="宋体" w:eastAsia="宋体"/>
                <w:kern w:val="2"/>
                <w:sz w:val="24"/>
                <w:szCs w:val="24"/>
              </w:rPr>
              <w:t>动环监控系统维护服务</w:t>
            </w:r>
          </w:p>
          <w:p w14:paraId="3F84F9CD">
            <w:pPr>
              <w:pStyle w:val="58"/>
              <w:widowControl/>
              <w:numPr>
                <w:ilvl w:val="0"/>
                <w:numId w:val="9"/>
              </w:numPr>
              <w:spacing w:line="360" w:lineRule="auto"/>
              <w:ind w:firstLineChars="0"/>
              <w:jc w:val="left"/>
              <w:rPr>
                <w:rFonts w:ascii="宋体" w:hAnsi="宋体"/>
                <w:kern w:val="2"/>
                <w:sz w:val="24"/>
                <w:szCs w:val="24"/>
              </w:rPr>
            </w:pPr>
            <w:r>
              <w:rPr>
                <w:rFonts w:hint="eastAsia" w:ascii="宋体" w:hAnsi="宋体" w:eastAsia="宋体"/>
                <w:kern w:val="2"/>
                <w:sz w:val="24"/>
                <w:szCs w:val="24"/>
              </w:rPr>
              <w:t>其他设备（多功能移动护理车、轻型移动医生车、移动客户端）维护服务</w:t>
            </w:r>
          </w:p>
        </w:tc>
        <w:tc>
          <w:tcPr>
            <w:tcW w:w="709" w:type="dxa"/>
            <w:vMerge w:val="continue"/>
          </w:tcPr>
          <w:p w14:paraId="6B701519">
            <w:pPr>
              <w:spacing w:line="360" w:lineRule="auto"/>
              <w:rPr>
                <w:rFonts w:ascii="宋体" w:hAnsi="宋体"/>
                <w:bCs/>
                <w:kern w:val="2"/>
                <w:sz w:val="24"/>
                <w:szCs w:val="24"/>
              </w:rPr>
            </w:pPr>
          </w:p>
        </w:tc>
        <w:tc>
          <w:tcPr>
            <w:tcW w:w="753" w:type="dxa"/>
            <w:vMerge w:val="continue"/>
          </w:tcPr>
          <w:p w14:paraId="45E641F0">
            <w:pPr>
              <w:spacing w:line="360" w:lineRule="auto"/>
              <w:rPr>
                <w:rFonts w:ascii="宋体" w:hAnsi="宋体"/>
                <w:bCs/>
                <w:kern w:val="2"/>
                <w:sz w:val="24"/>
                <w:szCs w:val="24"/>
              </w:rPr>
            </w:pPr>
          </w:p>
        </w:tc>
      </w:tr>
      <w:tr w14:paraId="0EFA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1AE34537">
            <w:pPr>
              <w:spacing w:line="360" w:lineRule="auto"/>
              <w:rPr>
                <w:rFonts w:ascii="宋体" w:hAnsi="宋体"/>
                <w:bCs/>
                <w:kern w:val="2"/>
                <w:sz w:val="24"/>
                <w:szCs w:val="24"/>
              </w:rPr>
            </w:pPr>
          </w:p>
        </w:tc>
        <w:tc>
          <w:tcPr>
            <w:tcW w:w="1701" w:type="dxa"/>
            <w:vAlign w:val="center"/>
          </w:tcPr>
          <w:p w14:paraId="1BE316B0">
            <w:pPr>
              <w:spacing w:line="360" w:lineRule="auto"/>
              <w:jc w:val="center"/>
              <w:rPr>
                <w:rFonts w:ascii="宋体" w:hAnsi="宋体"/>
                <w:bCs/>
                <w:kern w:val="2"/>
                <w:sz w:val="24"/>
                <w:szCs w:val="24"/>
              </w:rPr>
            </w:pPr>
            <w:r>
              <w:rPr>
                <w:rFonts w:hint="eastAsia" w:ascii="宋体" w:hAnsi="宋体" w:cs="宋体"/>
                <w:kern w:val="2"/>
                <w:sz w:val="24"/>
                <w:szCs w:val="24"/>
              </w:rPr>
              <w:t>远程维护</w:t>
            </w:r>
          </w:p>
        </w:tc>
        <w:tc>
          <w:tcPr>
            <w:tcW w:w="4536" w:type="dxa"/>
            <w:vAlign w:val="center"/>
          </w:tcPr>
          <w:p w14:paraId="71EA3141">
            <w:pPr>
              <w:widowControl/>
              <w:spacing w:line="360" w:lineRule="auto"/>
              <w:jc w:val="left"/>
              <w:rPr>
                <w:rFonts w:ascii="宋体" w:hAnsi="宋体" w:cs="宋体"/>
                <w:kern w:val="2"/>
                <w:sz w:val="24"/>
                <w:szCs w:val="24"/>
              </w:rPr>
            </w:pPr>
            <w:r>
              <w:rPr>
                <w:rFonts w:hint="eastAsia" w:ascii="宋体" w:hAnsi="宋体" w:cs="宋体"/>
                <w:kern w:val="2"/>
                <w:sz w:val="24"/>
                <w:szCs w:val="24"/>
              </w:rPr>
              <w:t>（1）提供7*24小时远程维护（需医院配合建立远程维护系统）；</w:t>
            </w:r>
          </w:p>
          <w:p w14:paraId="40708A37">
            <w:pPr>
              <w:spacing w:line="360" w:lineRule="auto"/>
              <w:rPr>
                <w:rFonts w:ascii="宋体" w:hAnsi="宋体"/>
                <w:bCs/>
                <w:kern w:val="2"/>
                <w:sz w:val="24"/>
                <w:szCs w:val="24"/>
              </w:rPr>
            </w:pPr>
            <w:r>
              <w:rPr>
                <w:rFonts w:hint="eastAsia" w:ascii="宋体" w:hAnsi="宋体" w:cs="宋体"/>
                <w:kern w:val="2"/>
                <w:sz w:val="24"/>
                <w:szCs w:val="24"/>
              </w:rPr>
              <w:t>（2）提供7*24小时远程电话、微信技术支持。</w:t>
            </w:r>
          </w:p>
        </w:tc>
        <w:tc>
          <w:tcPr>
            <w:tcW w:w="709" w:type="dxa"/>
            <w:vMerge w:val="continue"/>
          </w:tcPr>
          <w:p w14:paraId="387346B5">
            <w:pPr>
              <w:spacing w:line="360" w:lineRule="auto"/>
              <w:rPr>
                <w:rFonts w:ascii="宋体" w:hAnsi="宋体"/>
                <w:bCs/>
                <w:kern w:val="2"/>
                <w:sz w:val="24"/>
                <w:szCs w:val="24"/>
              </w:rPr>
            </w:pPr>
          </w:p>
        </w:tc>
        <w:tc>
          <w:tcPr>
            <w:tcW w:w="753" w:type="dxa"/>
            <w:vMerge w:val="continue"/>
          </w:tcPr>
          <w:p w14:paraId="396C68B8">
            <w:pPr>
              <w:spacing w:line="360" w:lineRule="auto"/>
              <w:rPr>
                <w:rFonts w:ascii="宋体" w:hAnsi="宋体"/>
                <w:bCs/>
                <w:kern w:val="2"/>
                <w:sz w:val="24"/>
                <w:szCs w:val="24"/>
              </w:rPr>
            </w:pPr>
          </w:p>
        </w:tc>
      </w:tr>
      <w:tr w14:paraId="0DB7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2CF54F94">
            <w:pPr>
              <w:spacing w:line="360" w:lineRule="auto"/>
              <w:rPr>
                <w:rFonts w:ascii="宋体" w:hAnsi="宋体"/>
                <w:bCs/>
                <w:kern w:val="2"/>
                <w:sz w:val="24"/>
                <w:szCs w:val="24"/>
              </w:rPr>
            </w:pPr>
          </w:p>
        </w:tc>
        <w:tc>
          <w:tcPr>
            <w:tcW w:w="1701" w:type="dxa"/>
            <w:vAlign w:val="center"/>
          </w:tcPr>
          <w:p w14:paraId="59FAB49C">
            <w:pPr>
              <w:spacing w:line="360" w:lineRule="auto"/>
              <w:jc w:val="center"/>
              <w:rPr>
                <w:rFonts w:ascii="宋体" w:hAnsi="宋体"/>
                <w:bCs/>
                <w:kern w:val="2"/>
                <w:sz w:val="24"/>
                <w:szCs w:val="24"/>
              </w:rPr>
            </w:pPr>
            <w:r>
              <w:rPr>
                <w:rFonts w:hint="eastAsia" w:ascii="宋体" w:hAnsi="宋体" w:cs="宋体"/>
                <w:kern w:val="2"/>
                <w:sz w:val="24"/>
                <w:szCs w:val="24"/>
              </w:rPr>
              <w:t>现场运维</w:t>
            </w:r>
          </w:p>
        </w:tc>
        <w:tc>
          <w:tcPr>
            <w:tcW w:w="4536" w:type="dxa"/>
            <w:vAlign w:val="center"/>
          </w:tcPr>
          <w:p w14:paraId="01EFA855">
            <w:pPr>
              <w:spacing w:line="360" w:lineRule="auto"/>
              <w:rPr>
                <w:rFonts w:ascii="宋体" w:hAnsi="宋体"/>
                <w:bCs/>
                <w:kern w:val="2"/>
                <w:sz w:val="24"/>
                <w:szCs w:val="24"/>
              </w:rPr>
            </w:pPr>
            <w:r>
              <w:rPr>
                <w:rFonts w:hint="eastAsia" w:ascii="宋体" w:hAnsi="宋体" w:cs="宋体"/>
                <w:kern w:val="2"/>
                <w:sz w:val="24"/>
                <w:szCs w:val="24"/>
              </w:rPr>
              <w:t>每月不少于1次来现场进行维护</w:t>
            </w:r>
          </w:p>
        </w:tc>
        <w:tc>
          <w:tcPr>
            <w:tcW w:w="709" w:type="dxa"/>
            <w:vMerge w:val="continue"/>
          </w:tcPr>
          <w:p w14:paraId="62196851">
            <w:pPr>
              <w:spacing w:line="360" w:lineRule="auto"/>
              <w:rPr>
                <w:rFonts w:ascii="宋体" w:hAnsi="宋体"/>
                <w:bCs/>
                <w:kern w:val="2"/>
                <w:sz w:val="24"/>
                <w:szCs w:val="24"/>
              </w:rPr>
            </w:pPr>
          </w:p>
        </w:tc>
        <w:tc>
          <w:tcPr>
            <w:tcW w:w="753" w:type="dxa"/>
            <w:vMerge w:val="continue"/>
          </w:tcPr>
          <w:p w14:paraId="03C3E86A">
            <w:pPr>
              <w:spacing w:line="360" w:lineRule="auto"/>
              <w:rPr>
                <w:rFonts w:ascii="宋体" w:hAnsi="宋体"/>
                <w:bCs/>
                <w:kern w:val="2"/>
                <w:sz w:val="24"/>
                <w:szCs w:val="24"/>
              </w:rPr>
            </w:pPr>
          </w:p>
        </w:tc>
      </w:tr>
      <w:tr w14:paraId="24BF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5F5C1A48">
            <w:pPr>
              <w:spacing w:line="360" w:lineRule="auto"/>
              <w:rPr>
                <w:rFonts w:ascii="宋体" w:hAnsi="宋体"/>
                <w:bCs/>
                <w:kern w:val="2"/>
                <w:sz w:val="24"/>
                <w:szCs w:val="24"/>
              </w:rPr>
            </w:pPr>
          </w:p>
        </w:tc>
        <w:tc>
          <w:tcPr>
            <w:tcW w:w="1701" w:type="dxa"/>
            <w:vAlign w:val="center"/>
          </w:tcPr>
          <w:p w14:paraId="6B692175">
            <w:pPr>
              <w:spacing w:line="360" w:lineRule="auto"/>
              <w:jc w:val="center"/>
              <w:rPr>
                <w:rFonts w:ascii="宋体" w:hAnsi="宋体" w:cs="宋体"/>
                <w:kern w:val="2"/>
                <w:sz w:val="24"/>
                <w:szCs w:val="24"/>
              </w:rPr>
            </w:pPr>
            <w:r>
              <w:rPr>
                <w:rFonts w:hint="eastAsia" w:ascii="宋体" w:hAnsi="宋体" w:cs="宋体"/>
                <w:kern w:val="2"/>
                <w:sz w:val="24"/>
                <w:szCs w:val="24"/>
              </w:rPr>
              <w:t>季度运维</w:t>
            </w:r>
          </w:p>
        </w:tc>
        <w:tc>
          <w:tcPr>
            <w:tcW w:w="4536" w:type="dxa"/>
            <w:vAlign w:val="center"/>
          </w:tcPr>
          <w:p w14:paraId="3B357586">
            <w:pPr>
              <w:spacing w:line="360" w:lineRule="auto"/>
              <w:rPr>
                <w:rFonts w:ascii="宋体" w:hAnsi="宋体" w:cs="宋体"/>
                <w:kern w:val="2"/>
                <w:sz w:val="24"/>
                <w:szCs w:val="24"/>
              </w:rPr>
            </w:pPr>
            <w:r>
              <w:rPr>
                <w:rFonts w:hint="eastAsia" w:ascii="宋体" w:hAnsi="宋体" w:cs="宋体"/>
                <w:kern w:val="2"/>
                <w:sz w:val="24"/>
                <w:szCs w:val="24"/>
              </w:rPr>
              <w:t>每季度不少于1次来现场保养</w:t>
            </w:r>
          </w:p>
        </w:tc>
        <w:tc>
          <w:tcPr>
            <w:tcW w:w="709" w:type="dxa"/>
            <w:vMerge w:val="continue"/>
          </w:tcPr>
          <w:p w14:paraId="0CEA5E70">
            <w:pPr>
              <w:spacing w:line="360" w:lineRule="auto"/>
              <w:rPr>
                <w:rFonts w:ascii="宋体" w:hAnsi="宋体"/>
                <w:bCs/>
                <w:kern w:val="2"/>
                <w:sz w:val="24"/>
                <w:szCs w:val="24"/>
              </w:rPr>
            </w:pPr>
          </w:p>
        </w:tc>
        <w:tc>
          <w:tcPr>
            <w:tcW w:w="753" w:type="dxa"/>
            <w:vMerge w:val="continue"/>
          </w:tcPr>
          <w:p w14:paraId="1635B07A">
            <w:pPr>
              <w:spacing w:line="360" w:lineRule="auto"/>
              <w:rPr>
                <w:rFonts w:ascii="宋体" w:hAnsi="宋体"/>
                <w:bCs/>
                <w:kern w:val="2"/>
                <w:sz w:val="24"/>
                <w:szCs w:val="24"/>
              </w:rPr>
            </w:pPr>
          </w:p>
        </w:tc>
      </w:tr>
      <w:tr w14:paraId="0C5F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7488E2F7">
            <w:pPr>
              <w:spacing w:line="360" w:lineRule="auto"/>
              <w:rPr>
                <w:rFonts w:ascii="宋体" w:hAnsi="宋体"/>
                <w:bCs/>
                <w:kern w:val="2"/>
                <w:sz w:val="24"/>
                <w:szCs w:val="24"/>
              </w:rPr>
            </w:pPr>
          </w:p>
        </w:tc>
        <w:tc>
          <w:tcPr>
            <w:tcW w:w="1701" w:type="dxa"/>
            <w:vAlign w:val="center"/>
          </w:tcPr>
          <w:p w14:paraId="42780D26">
            <w:pPr>
              <w:spacing w:line="360" w:lineRule="auto"/>
              <w:jc w:val="center"/>
              <w:rPr>
                <w:rFonts w:ascii="宋体" w:hAnsi="宋体"/>
                <w:bCs/>
                <w:kern w:val="2"/>
                <w:sz w:val="24"/>
                <w:szCs w:val="24"/>
              </w:rPr>
            </w:pPr>
            <w:r>
              <w:rPr>
                <w:rFonts w:hint="eastAsia" w:ascii="宋体" w:hAnsi="宋体" w:cs="宋体"/>
                <w:kern w:val="2"/>
                <w:sz w:val="24"/>
                <w:szCs w:val="24"/>
              </w:rPr>
              <w:t>培训</w:t>
            </w:r>
          </w:p>
        </w:tc>
        <w:tc>
          <w:tcPr>
            <w:tcW w:w="4536" w:type="dxa"/>
            <w:vAlign w:val="center"/>
          </w:tcPr>
          <w:p w14:paraId="129D488B">
            <w:pPr>
              <w:spacing w:line="360" w:lineRule="auto"/>
              <w:rPr>
                <w:rFonts w:ascii="宋体" w:hAnsi="宋体"/>
                <w:bCs/>
                <w:kern w:val="2"/>
                <w:sz w:val="24"/>
                <w:szCs w:val="24"/>
              </w:rPr>
            </w:pPr>
            <w:r>
              <w:rPr>
                <w:rFonts w:hint="eastAsia" w:ascii="宋体" w:hAnsi="宋体" w:cs="宋体"/>
                <w:kern w:val="2"/>
                <w:sz w:val="24"/>
                <w:szCs w:val="24"/>
              </w:rPr>
              <w:t>每年开展 2 次集中培训，内容包括 “精密空调日常巡检”“UPS 电池维护”“动环监控平台操作” 等</w:t>
            </w:r>
          </w:p>
        </w:tc>
        <w:tc>
          <w:tcPr>
            <w:tcW w:w="709" w:type="dxa"/>
            <w:vMerge w:val="continue"/>
          </w:tcPr>
          <w:p w14:paraId="36F4B8E4">
            <w:pPr>
              <w:spacing w:line="360" w:lineRule="auto"/>
              <w:rPr>
                <w:rFonts w:ascii="宋体" w:hAnsi="宋体"/>
                <w:bCs/>
                <w:kern w:val="2"/>
                <w:sz w:val="24"/>
                <w:szCs w:val="24"/>
              </w:rPr>
            </w:pPr>
          </w:p>
        </w:tc>
        <w:tc>
          <w:tcPr>
            <w:tcW w:w="753" w:type="dxa"/>
            <w:vMerge w:val="continue"/>
          </w:tcPr>
          <w:p w14:paraId="6565C5BD">
            <w:pPr>
              <w:spacing w:line="360" w:lineRule="auto"/>
              <w:rPr>
                <w:rFonts w:ascii="宋体" w:hAnsi="宋体"/>
                <w:bCs/>
                <w:kern w:val="2"/>
                <w:sz w:val="24"/>
                <w:szCs w:val="24"/>
              </w:rPr>
            </w:pPr>
          </w:p>
        </w:tc>
      </w:tr>
      <w:bookmarkEnd w:id="2"/>
    </w:tbl>
    <w:p w14:paraId="51237B98">
      <w:pPr>
        <w:spacing w:line="360" w:lineRule="auto"/>
        <w:rPr>
          <w:rFonts w:ascii="宋体" w:hAnsi="宋体"/>
          <w:bCs/>
          <w:sz w:val="22"/>
          <w:szCs w:val="22"/>
        </w:rPr>
      </w:pPr>
    </w:p>
    <w:p w14:paraId="594944E4">
      <w:pPr>
        <w:tabs>
          <w:tab w:val="left" w:pos="567"/>
        </w:tabs>
        <w:spacing w:line="360" w:lineRule="auto"/>
        <w:ind w:firstLine="482" w:firstLineChars="200"/>
        <w:outlineLvl w:val="2"/>
        <w:rPr>
          <w:rFonts w:ascii="宋体" w:hAnsi="宋体"/>
          <w:b/>
          <w:sz w:val="24"/>
          <w:szCs w:val="24"/>
        </w:rPr>
      </w:pPr>
      <w:r>
        <w:rPr>
          <w:rFonts w:hint="eastAsia" w:ascii="宋体" w:hAnsi="宋体"/>
          <w:b/>
          <w:sz w:val="24"/>
          <w:szCs w:val="24"/>
        </w:rPr>
        <w:t>2、具体服务要求</w:t>
      </w:r>
    </w:p>
    <w:p w14:paraId="6AE4D463">
      <w:pPr>
        <w:pStyle w:val="58"/>
        <w:numPr>
          <w:ilvl w:val="0"/>
          <w:numId w:val="10"/>
        </w:numPr>
        <w:spacing w:line="360" w:lineRule="auto"/>
        <w:ind w:firstLineChars="0"/>
        <w:rPr>
          <w:rFonts w:ascii="宋体" w:hAnsi="宋体" w:cs="仿宋_GB2312"/>
          <w:sz w:val="24"/>
          <w:szCs w:val="24"/>
        </w:rPr>
      </w:pPr>
      <w:bookmarkStart w:id="3" w:name="_Toc136355110"/>
      <w:bookmarkEnd w:id="3"/>
      <w:r>
        <w:rPr>
          <w:rFonts w:hint="eastAsia" w:ascii="宋体" w:hAnsi="宋体" w:cs="仿宋_GB2312"/>
          <w:sz w:val="24"/>
          <w:szCs w:val="24"/>
        </w:rPr>
        <w:t>精密空调系统维护服务</w:t>
      </w:r>
    </w:p>
    <w:p w14:paraId="67B4D9F1">
      <w:pPr>
        <w:spacing w:line="360" w:lineRule="auto"/>
        <w:ind w:firstLine="960" w:firstLineChars="400"/>
        <w:rPr>
          <w:rFonts w:ascii="宋体" w:hAnsi="宋体" w:cs="仿宋_GB2312"/>
          <w:sz w:val="24"/>
          <w:szCs w:val="24"/>
        </w:rPr>
      </w:pPr>
      <w:r>
        <w:rPr>
          <w:rFonts w:hint="eastAsia" w:ascii="宋体" w:hAnsi="宋体" w:cs="仿宋_GB2312"/>
          <w:sz w:val="24"/>
          <w:szCs w:val="24"/>
        </w:rPr>
        <w:t>定期巡检与保养：月度巡检（每月至少</w:t>
      </w:r>
      <w:r>
        <w:rPr>
          <w:rFonts w:ascii="宋体" w:hAnsi="宋体" w:cs="仿宋_GB2312"/>
          <w:sz w:val="24"/>
          <w:szCs w:val="24"/>
        </w:rPr>
        <w:t>1</w:t>
      </w:r>
      <w:r>
        <w:rPr>
          <w:rFonts w:hint="eastAsia" w:ascii="宋体" w:hAnsi="宋体" w:cs="仿宋_GB2312"/>
          <w:sz w:val="24"/>
          <w:szCs w:val="24"/>
        </w:rPr>
        <w:t>次）</w:t>
      </w:r>
    </w:p>
    <w:p w14:paraId="2019D5AF">
      <w:pPr>
        <w:spacing w:line="360" w:lineRule="auto"/>
        <w:ind w:firstLine="960" w:firstLineChars="400"/>
        <w:rPr>
          <w:rFonts w:ascii="宋体" w:hAnsi="宋体" w:cs="仿宋_GB2312"/>
          <w:sz w:val="24"/>
          <w:szCs w:val="24"/>
        </w:rPr>
      </w:pPr>
      <w:r>
        <w:rPr>
          <w:rFonts w:hint="eastAsia" w:ascii="宋体" w:hAnsi="宋体" w:cs="仿宋_GB2312"/>
          <w:sz w:val="24"/>
          <w:szCs w:val="24"/>
        </w:rPr>
        <w:t>设备状态检查：查看空调室内外机运行噪音、振动情况，检查压缩机、风机、加湿器等核心部件运行状态，确认无异常发热、渗漏；</w:t>
      </w:r>
    </w:p>
    <w:p w14:paraId="1A2759F7">
      <w:pPr>
        <w:spacing w:line="360" w:lineRule="auto"/>
        <w:ind w:firstLine="960" w:firstLineChars="400"/>
        <w:rPr>
          <w:rFonts w:ascii="宋体" w:hAnsi="宋体" w:cs="仿宋_GB2312"/>
          <w:sz w:val="24"/>
          <w:szCs w:val="24"/>
        </w:rPr>
      </w:pPr>
      <w:r>
        <w:rPr>
          <w:rFonts w:hint="eastAsia" w:ascii="宋体" w:hAnsi="宋体" w:cs="仿宋_GB2312"/>
          <w:sz w:val="24"/>
          <w:szCs w:val="24"/>
        </w:rPr>
        <w:t>参数校准：使用专业设备检测机房温湿度，对比空调显示数据，校准温湿度传感器，确保控制精度偏差不超过 ±1℃/±5%；</w:t>
      </w:r>
    </w:p>
    <w:p w14:paraId="72B325D4">
      <w:pPr>
        <w:spacing w:line="360" w:lineRule="auto"/>
        <w:ind w:firstLine="960" w:firstLineChars="400"/>
        <w:rPr>
          <w:rFonts w:ascii="宋体" w:hAnsi="宋体" w:cs="仿宋_GB2312"/>
          <w:sz w:val="24"/>
          <w:szCs w:val="24"/>
        </w:rPr>
      </w:pPr>
      <w:r>
        <w:rPr>
          <w:rFonts w:hint="eastAsia" w:ascii="宋体" w:hAnsi="宋体" w:cs="仿宋_GB2312"/>
          <w:sz w:val="24"/>
          <w:szCs w:val="24"/>
        </w:rPr>
        <w:t>基础清洁：清洗空调滤网、蒸发器翅片，清理室外机散热片杂物，避免因堵塞影响制冷效率；</w:t>
      </w:r>
    </w:p>
    <w:p w14:paraId="5DBF32B2">
      <w:pPr>
        <w:spacing w:line="360" w:lineRule="auto"/>
        <w:ind w:firstLine="960" w:firstLineChars="400"/>
        <w:rPr>
          <w:rFonts w:ascii="宋体" w:hAnsi="宋体" w:cs="仿宋_GB2312"/>
          <w:sz w:val="24"/>
          <w:szCs w:val="24"/>
        </w:rPr>
      </w:pPr>
      <w:r>
        <w:rPr>
          <w:rFonts w:hint="eastAsia" w:ascii="宋体" w:hAnsi="宋体" w:cs="仿宋_GB2312"/>
          <w:sz w:val="24"/>
          <w:szCs w:val="24"/>
        </w:rPr>
        <w:t>数据记录：记录空调运行参数（如出风口温度、工作电流、制冷剂压力），更新《设备运维台账》。</w:t>
      </w:r>
    </w:p>
    <w:p w14:paraId="0B08BA19">
      <w:pPr>
        <w:spacing w:line="360" w:lineRule="auto"/>
        <w:ind w:firstLine="960" w:firstLineChars="400"/>
        <w:rPr>
          <w:rFonts w:ascii="宋体" w:hAnsi="宋体" w:cs="仿宋_GB2312"/>
          <w:sz w:val="24"/>
          <w:szCs w:val="24"/>
        </w:rPr>
      </w:pPr>
      <w:r>
        <w:rPr>
          <w:rFonts w:hint="eastAsia" w:ascii="宋体" w:hAnsi="宋体" w:cs="仿宋_GB2312"/>
          <w:sz w:val="24"/>
          <w:szCs w:val="24"/>
        </w:rPr>
        <w:t>每季度保养（每 3个月至少 1 次）</w:t>
      </w:r>
    </w:p>
    <w:p w14:paraId="68D805FB">
      <w:pPr>
        <w:spacing w:line="360" w:lineRule="auto"/>
        <w:ind w:firstLine="960" w:firstLineChars="400"/>
        <w:rPr>
          <w:rFonts w:ascii="宋体" w:hAnsi="宋体" w:cs="仿宋_GB2312"/>
          <w:sz w:val="24"/>
          <w:szCs w:val="24"/>
        </w:rPr>
      </w:pPr>
      <w:r>
        <w:rPr>
          <w:rFonts w:hint="eastAsia" w:ascii="宋体" w:hAnsi="宋体" w:cs="仿宋_GB2312"/>
          <w:sz w:val="24"/>
          <w:szCs w:val="24"/>
        </w:rPr>
        <w:t>部件深度检查：拆解检查空调电气接线端子，紧固松动接头，检测绝缘电阻；检查加湿器电极、水位传感器，更换老化的水位探针或滤芯；</w:t>
      </w:r>
    </w:p>
    <w:p w14:paraId="426A512A">
      <w:pPr>
        <w:spacing w:line="360" w:lineRule="auto"/>
        <w:ind w:firstLine="960" w:firstLineChars="400"/>
        <w:rPr>
          <w:rFonts w:ascii="宋体" w:hAnsi="宋体" w:cs="仿宋_GB2312"/>
          <w:sz w:val="24"/>
          <w:szCs w:val="24"/>
        </w:rPr>
      </w:pPr>
      <w:r>
        <w:rPr>
          <w:rFonts w:hint="eastAsia" w:ascii="宋体" w:hAnsi="宋体" w:cs="仿宋_GB2312"/>
          <w:sz w:val="24"/>
          <w:szCs w:val="24"/>
        </w:rPr>
        <w:t>制冷剂维护：检测制冷剂管路密封性，补充泄漏点，按需添加适配制冷剂（科华、维迪品牌专用型号），确保压力符合设备标准；</w:t>
      </w:r>
    </w:p>
    <w:p w14:paraId="03B89014">
      <w:pPr>
        <w:spacing w:line="360" w:lineRule="auto"/>
        <w:ind w:firstLine="960" w:firstLineChars="400"/>
        <w:rPr>
          <w:rFonts w:ascii="宋体" w:hAnsi="宋体" w:cs="仿宋_GB2312"/>
          <w:sz w:val="24"/>
          <w:szCs w:val="24"/>
        </w:rPr>
      </w:pPr>
      <w:r>
        <w:rPr>
          <w:rFonts w:hint="eastAsia" w:ascii="宋体" w:hAnsi="宋体" w:cs="仿宋_GB2312"/>
          <w:sz w:val="24"/>
          <w:szCs w:val="24"/>
        </w:rPr>
        <w:t>风机维护：清洁风机轴承，添加专用润滑油，检查风机皮带松紧度，更换老化皮带。</w:t>
      </w:r>
    </w:p>
    <w:p w14:paraId="5A7BFE3F">
      <w:pPr>
        <w:spacing w:line="360" w:lineRule="auto"/>
        <w:ind w:firstLine="960" w:firstLineChars="400"/>
        <w:rPr>
          <w:rFonts w:ascii="宋体" w:hAnsi="宋体" w:cs="仿宋_GB2312"/>
          <w:sz w:val="24"/>
          <w:szCs w:val="24"/>
        </w:rPr>
      </w:pPr>
      <w:r>
        <w:rPr>
          <w:rFonts w:hint="eastAsia" w:ascii="宋体" w:hAnsi="宋体" w:cs="仿宋_GB2312"/>
          <w:sz w:val="24"/>
          <w:szCs w:val="24"/>
        </w:rPr>
        <w:t>半年度全检（每年至少 2 次）</w:t>
      </w:r>
    </w:p>
    <w:p w14:paraId="61D58C74">
      <w:pPr>
        <w:spacing w:line="360" w:lineRule="auto"/>
        <w:ind w:firstLine="960" w:firstLineChars="400"/>
        <w:rPr>
          <w:rFonts w:ascii="宋体" w:hAnsi="宋体" w:cs="仿宋_GB2312"/>
          <w:sz w:val="24"/>
          <w:szCs w:val="24"/>
        </w:rPr>
      </w:pPr>
      <w:r>
        <w:rPr>
          <w:rFonts w:hint="eastAsia" w:ascii="宋体" w:hAnsi="宋体" w:cs="仿宋_GB2312"/>
          <w:sz w:val="24"/>
          <w:szCs w:val="24"/>
        </w:rPr>
        <w:t>系统性能测试：模拟机房高负荷场景，测试空调制冷量、除湿 / 加湿能力，确保满足机房散热与湿度调节需求；</w:t>
      </w:r>
    </w:p>
    <w:p w14:paraId="587A289D">
      <w:pPr>
        <w:spacing w:line="360" w:lineRule="auto"/>
        <w:ind w:firstLine="960" w:firstLineChars="400"/>
        <w:rPr>
          <w:rFonts w:ascii="宋体" w:hAnsi="宋体" w:cs="仿宋_GB2312"/>
          <w:sz w:val="24"/>
          <w:szCs w:val="24"/>
        </w:rPr>
      </w:pPr>
      <w:r>
        <w:rPr>
          <w:rFonts w:hint="eastAsia" w:ascii="宋体" w:hAnsi="宋体" w:cs="仿宋_GB2312"/>
          <w:sz w:val="24"/>
          <w:szCs w:val="24"/>
        </w:rPr>
        <w:t>部件寿命评估：对运行超 5 年的压缩机、电容等关键部件进行性能检测，出具寿命评估报告，提出更换建议；</w:t>
      </w:r>
    </w:p>
    <w:p w14:paraId="6174ED25">
      <w:pPr>
        <w:spacing w:line="360" w:lineRule="auto"/>
        <w:ind w:firstLine="960" w:firstLineChars="400"/>
        <w:rPr>
          <w:rFonts w:ascii="宋体" w:hAnsi="宋体" w:cs="仿宋_GB2312"/>
          <w:sz w:val="24"/>
          <w:szCs w:val="24"/>
        </w:rPr>
      </w:pPr>
      <w:r>
        <w:rPr>
          <w:rFonts w:hint="eastAsia" w:ascii="宋体" w:hAnsi="宋体" w:cs="仿宋_GB2312"/>
          <w:sz w:val="24"/>
          <w:szCs w:val="24"/>
        </w:rPr>
        <w:t>系统优化：根据全年运行数据，调整空调运行模式（如夏季制冷优先级、冬季节能策略），提升运行效率。</w:t>
      </w:r>
    </w:p>
    <w:p w14:paraId="5DBA83AC">
      <w:pPr>
        <w:spacing w:line="360" w:lineRule="auto"/>
        <w:ind w:firstLine="960" w:firstLineChars="400"/>
        <w:rPr>
          <w:rFonts w:ascii="宋体" w:hAnsi="宋体" w:cs="仿宋_GB2312"/>
          <w:sz w:val="24"/>
          <w:szCs w:val="24"/>
        </w:rPr>
      </w:pPr>
      <w:r>
        <w:rPr>
          <w:rFonts w:hint="eastAsia" w:ascii="宋体" w:hAnsi="宋体" w:cs="仿宋_GB2312"/>
          <w:sz w:val="24"/>
          <w:szCs w:val="24"/>
        </w:rPr>
        <w:t>故障应急处理</w:t>
      </w:r>
    </w:p>
    <w:p w14:paraId="575A5884">
      <w:pPr>
        <w:spacing w:line="360" w:lineRule="auto"/>
        <w:ind w:firstLine="960" w:firstLineChars="400"/>
        <w:rPr>
          <w:rFonts w:ascii="宋体" w:hAnsi="宋体" w:cs="仿宋_GB2312"/>
          <w:sz w:val="24"/>
          <w:szCs w:val="24"/>
        </w:rPr>
      </w:pPr>
      <w:r>
        <w:rPr>
          <w:rFonts w:hint="eastAsia" w:ascii="宋体" w:hAnsi="宋体" w:cs="仿宋_GB2312"/>
          <w:sz w:val="24"/>
          <w:szCs w:val="24"/>
        </w:rPr>
        <w:t>故障响应：接到故障通知后，按 “海淀院区1 小时、昌平院区 2 小时” 抵达现场，优先处理影响机房环境的故障（如空调停机、温湿度失控）；</w:t>
      </w:r>
    </w:p>
    <w:p w14:paraId="4002A388">
      <w:pPr>
        <w:spacing w:line="360" w:lineRule="auto"/>
        <w:ind w:firstLine="960" w:firstLineChars="400"/>
        <w:rPr>
          <w:rFonts w:ascii="宋体" w:hAnsi="宋体" w:cs="仿宋_GB2312"/>
          <w:sz w:val="24"/>
          <w:szCs w:val="24"/>
        </w:rPr>
      </w:pPr>
      <w:r>
        <w:rPr>
          <w:rFonts w:hint="eastAsia" w:ascii="宋体" w:hAnsi="宋体" w:cs="仿宋_GB2312"/>
          <w:sz w:val="24"/>
          <w:szCs w:val="24"/>
        </w:rPr>
        <w:t>故障修复：一般故障（如滤网堵塞、传感器故障）：4 小时内完成修复，更换备件为原厂或同等认证产品（原厂专用温湿度传感器、滤网）；重大故障（如压缩机失效、管路泄漏）：立即启动备用空调保障机房环境，24 小时内完成备件调配与更换，修复后进行 24 小时试运行监测；</w:t>
      </w:r>
    </w:p>
    <w:p w14:paraId="4048819B">
      <w:pPr>
        <w:spacing w:line="360" w:lineRule="auto"/>
        <w:ind w:firstLine="960" w:firstLineChars="400"/>
        <w:rPr>
          <w:rFonts w:ascii="宋体" w:hAnsi="宋体" w:cs="仿宋_GB2312"/>
          <w:sz w:val="24"/>
          <w:szCs w:val="24"/>
        </w:rPr>
      </w:pPr>
      <w:r>
        <w:rPr>
          <w:rFonts w:hint="eastAsia" w:ascii="宋体" w:hAnsi="宋体" w:cs="仿宋_GB2312"/>
          <w:sz w:val="24"/>
          <w:szCs w:val="24"/>
        </w:rPr>
        <w:t>故障复盘：故障修复后 3 个工作日内提交《故障处理报告》，分析故障原因（如老化、操作不当），提出预防措施。</w:t>
      </w:r>
    </w:p>
    <w:p w14:paraId="38A0F20C">
      <w:pPr>
        <w:pStyle w:val="58"/>
        <w:numPr>
          <w:ilvl w:val="0"/>
          <w:numId w:val="10"/>
        </w:numPr>
        <w:spacing w:line="360" w:lineRule="auto"/>
        <w:ind w:firstLineChars="0"/>
        <w:rPr>
          <w:rFonts w:ascii="宋体" w:hAnsi="宋体" w:cs="仿宋_GB2312"/>
          <w:sz w:val="24"/>
          <w:szCs w:val="24"/>
        </w:rPr>
      </w:pPr>
      <w:r>
        <w:rPr>
          <w:rFonts w:hint="eastAsia" w:ascii="宋体" w:hAnsi="宋体" w:cs="仿宋_GB2312"/>
          <w:sz w:val="24"/>
          <w:szCs w:val="24"/>
        </w:rPr>
        <w:t>UPS不间断电源维护服务</w:t>
      </w:r>
    </w:p>
    <w:p w14:paraId="11728EEE">
      <w:pPr>
        <w:spacing w:line="360" w:lineRule="auto"/>
        <w:ind w:firstLine="960" w:firstLineChars="400"/>
        <w:rPr>
          <w:rFonts w:ascii="宋体" w:hAnsi="宋体" w:cs="仿宋_GB2312"/>
          <w:sz w:val="24"/>
          <w:szCs w:val="24"/>
        </w:rPr>
      </w:pPr>
      <w:r>
        <w:rPr>
          <w:rFonts w:hint="eastAsia" w:ascii="宋体" w:hAnsi="宋体" w:cs="仿宋_GB2312"/>
          <w:sz w:val="24"/>
          <w:szCs w:val="24"/>
        </w:rPr>
        <w:t>定期巡检与保养：月度巡检（每月至少1次）</w:t>
      </w:r>
    </w:p>
    <w:p w14:paraId="72E1E865">
      <w:pPr>
        <w:spacing w:line="360" w:lineRule="auto"/>
        <w:ind w:firstLine="960" w:firstLineChars="400"/>
        <w:rPr>
          <w:rFonts w:ascii="宋体" w:hAnsi="宋体" w:cs="仿宋_GB2312"/>
          <w:sz w:val="24"/>
          <w:szCs w:val="24"/>
        </w:rPr>
      </w:pPr>
      <w:r>
        <w:rPr>
          <w:rFonts w:hint="eastAsia" w:ascii="宋体" w:hAnsi="宋体" w:cs="仿宋_GB2312"/>
          <w:sz w:val="24"/>
          <w:szCs w:val="24"/>
        </w:rPr>
        <w:t>运行状态检查：查看 UPS 主机显示屏，确认输入 / 输出电压（220V±2%）、电流、频率等参数正常，无过载、报警提示；</w:t>
      </w:r>
    </w:p>
    <w:p w14:paraId="5F9D63C6">
      <w:pPr>
        <w:spacing w:line="360" w:lineRule="auto"/>
        <w:ind w:firstLine="960" w:firstLineChars="400"/>
        <w:rPr>
          <w:rFonts w:ascii="宋体" w:hAnsi="宋体" w:cs="仿宋_GB2312"/>
          <w:sz w:val="24"/>
          <w:szCs w:val="24"/>
        </w:rPr>
      </w:pPr>
      <w:r>
        <w:rPr>
          <w:rFonts w:hint="eastAsia" w:ascii="宋体" w:hAnsi="宋体" w:cs="仿宋_GB2312"/>
          <w:sz w:val="24"/>
          <w:szCs w:val="24"/>
        </w:rPr>
        <w:t>电池组检查：测量电池单体电压（正常范围 12.0 - 13.5V），检查电池外观无鼓包、漏液，连接线无松动、腐蚀；</w:t>
      </w:r>
    </w:p>
    <w:p w14:paraId="34099126">
      <w:pPr>
        <w:spacing w:line="360" w:lineRule="auto"/>
        <w:ind w:firstLine="960" w:firstLineChars="400"/>
        <w:rPr>
          <w:rFonts w:ascii="宋体" w:hAnsi="宋体" w:cs="仿宋_GB2312"/>
          <w:sz w:val="24"/>
          <w:szCs w:val="24"/>
        </w:rPr>
      </w:pPr>
      <w:r>
        <w:rPr>
          <w:rFonts w:hint="eastAsia" w:ascii="宋体" w:hAnsi="宋体" w:cs="仿宋_GB2312"/>
          <w:sz w:val="24"/>
          <w:szCs w:val="24"/>
        </w:rPr>
        <w:t>环境检查：清理 UPS 机柜内灰尘，检查散热风扇运行正常，确保机柜通风良好。</w:t>
      </w:r>
    </w:p>
    <w:p w14:paraId="6E12400F">
      <w:pPr>
        <w:spacing w:line="360" w:lineRule="auto"/>
        <w:ind w:firstLine="960" w:firstLineChars="400"/>
        <w:rPr>
          <w:rFonts w:ascii="宋体" w:hAnsi="宋体" w:cs="仿宋_GB2312"/>
          <w:sz w:val="24"/>
          <w:szCs w:val="24"/>
        </w:rPr>
      </w:pPr>
      <w:r>
        <w:rPr>
          <w:rFonts w:hint="eastAsia" w:ascii="宋体" w:hAnsi="宋体" w:cs="仿宋_GB2312"/>
          <w:sz w:val="24"/>
          <w:szCs w:val="24"/>
        </w:rPr>
        <w:t>季度保养（每3个月至少1次）</w:t>
      </w:r>
    </w:p>
    <w:p w14:paraId="4D3076CF">
      <w:pPr>
        <w:spacing w:line="360" w:lineRule="auto"/>
        <w:ind w:firstLine="960" w:firstLineChars="400"/>
        <w:rPr>
          <w:rFonts w:ascii="宋体" w:hAnsi="宋体" w:cs="仿宋_GB2312"/>
          <w:sz w:val="24"/>
          <w:szCs w:val="24"/>
        </w:rPr>
      </w:pPr>
      <w:r>
        <w:rPr>
          <w:rFonts w:hint="eastAsia" w:ascii="宋体" w:hAnsi="宋体" w:cs="仿宋_GB2312"/>
          <w:sz w:val="24"/>
          <w:szCs w:val="24"/>
        </w:rPr>
        <w:t>性能测试：进行 UPS 切换测试（市电 / 电池模式），确保切换时间≤10ms，无中断供电；</w:t>
      </w:r>
    </w:p>
    <w:p w14:paraId="574ACAAD">
      <w:pPr>
        <w:spacing w:line="360" w:lineRule="auto"/>
        <w:ind w:firstLine="960" w:firstLineChars="400"/>
        <w:rPr>
          <w:rFonts w:ascii="宋体" w:hAnsi="宋体" w:cs="仿宋_GB2312"/>
          <w:sz w:val="24"/>
          <w:szCs w:val="24"/>
        </w:rPr>
      </w:pPr>
      <w:r>
        <w:rPr>
          <w:rFonts w:hint="eastAsia" w:ascii="宋体" w:hAnsi="宋体" w:cs="仿宋_GB2312"/>
          <w:sz w:val="24"/>
          <w:szCs w:val="24"/>
        </w:rPr>
        <w:t>电池维护：对电池组进行均衡充电，激活衰减电池容量，记录充电曲线，评估电池健康状态；</w:t>
      </w:r>
    </w:p>
    <w:p w14:paraId="6B4E22C4">
      <w:pPr>
        <w:spacing w:line="360" w:lineRule="auto"/>
        <w:ind w:firstLine="960" w:firstLineChars="400"/>
        <w:rPr>
          <w:rFonts w:ascii="宋体" w:hAnsi="宋体" w:cs="仿宋_GB2312"/>
          <w:sz w:val="24"/>
          <w:szCs w:val="24"/>
        </w:rPr>
      </w:pPr>
      <w:r>
        <w:rPr>
          <w:rFonts w:hint="eastAsia" w:ascii="宋体" w:hAnsi="宋体" w:cs="仿宋_GB2312"/>
          <w:sz w:val="24"/>
          <w:szCs w:val="24"/>
        </w:rPr>
        <w:t>部件检查：检查 UPS 逆变器、整流器模块运行温度，检测电容、电阻等元件无老化迹象。</w:t>
      </w:r>
    </w:p>
    <w:p w14:paraId="2F98A3D4">
      <w:pPr>
        <w:spacing w:line="360" w:lineRule="auto"/>
        <w:ind w:firstLine="960" w:firstLineChars="400"/>
        <w:rPr>
          <w:rFonts w:ascii="宋体" w:hAnsi="宋体" w:cs="仿宋_GB2312"/>
          <w:sz w:val="24"/>
          <w:szCs w:val="24"/>
        </w:rPr>
      </w:pPr>
      <w:r>
        <w:rPr>
          <w:rFonts w:hint="eastAsia" w:ascii="宋体" w:hAnsi="宋体" w:cs="仿宋_GB2312"/>
          <w:sz w:val="24"/>
          <w:szCs w:val="24"/>
        </w:rPr>
        <w:t>半年度全检（每年至少2次）</w:t>
      </w:r>
    </w:p>
    <w:p w14:paraId="0DD1C1C7">
      <w:pPr>
        <w:spacing w:line="360" w:lineRule="auto"/>
        <w:ind w:firstLine="960" w:firstLineChars="400"/>
        <w:rPr>
          <w:rFonts w:ascii="宋体" w:hAnsi="宋体" w:cs="仿宋_GB2312"/>
          <w:sz w:val="24"/>
          <w:szCs w:val="24"/>
        </w:rPr>
      </w:pPr>
      <w:r>
        <w:rPr>
          <w:rFonts w:hint="eastAsia" w:ascii="宋体" w:hAnsi="宋体" w:cs="仿宋_GB2312"/>
          <w:sz w:val="24"/>
          <w:szCs w:val="24"/>
        </w:rPr>
        <w:t>电池容量测试：采用专业放电设备对电池组进行 10 小时率放电测试，确保后备供电时间≥30 分钟，若单节电池容量衰减超 20%，提出更换建议；</w:t>
      </w:r>
    </w:p>
    <w:p w14:paraId="4303A6E4">
      <w:pPr>
        <w:spacing w:line="360" w:lineRule="auto"/>
        <w:ind w:firstLine="960" w:firstLineChars="400"/>
        <w:rPr>
          <w:rFonts w:ascii="宋体" w:hAnsi="宋体" w:cs="仿宋_GB2312"/>
          <w:sz w:val="24"/>
          <w:szCs w:val="24"/>
        </w:rPr>
      </w:pPr>
      <w:r>
        <w:rPr>
          <w:rFonts w:hint="eastAsia" w:ascii="宋体" w:hAnsi="宋体" w:cs="仿宋_GB2312"/>
          <w:sz w:val="24"/>
          <w:szCs w:val="24"/>
        </w:rPr>
        <w:t>系统校准：校准 UPS 电压、电流检测模块，确保计量精度符合行业标准；</w:t>
      </w:r>
    </w:p>
    <w:p w14:paraId="7E264A1F">
      <w:pPr>
        <w:spacing w:line="360" w:lineRule="auto"/>
        <w:ind w:firstLine="960" w:firstLineChars="400"/>
        <w:rPr>
          <w:rFonts w:ascii="宋体" w:hAnsi="宋体" w:cs="仿宋_GB2312"/>
          <w:sz w:val="24"/>
          <w:szCs w:val="24"/>
        </w:rPr>
      </w:pPr>
      <w:r>
        <w:rPr>
          <w:rFonts w:hint="eastAsia" w:ascii="宋体" w:hAnsi="宋体" w:cs="仿宋_GB2312"/>
          <w:sz w:val="24"/>
          <w:szCs w:val="24"/>
        </w:rPr>
        <w:t>固件升级：根据厂家最新固件版本，升级 UPS 控制程序，修复已知漏洞，提升系统稳定性。</w:t>
      </w:r>
    </w:p>
    <w:p w14:paraId="1DF68A8A">
      <w:pPr>
        <w:spacing w:line="360" w:lineRule="auto"/>
        <w:ind w:firstLine="960" w:firstLineChars="400"/>
        <w:rPr>
          <w:rFonts w:ascii="宋体" w:hAnsi="宋体" w:cs="仿宋_GB2312"/>
          <w:sz w:val="24"/>
          <w:szCs w:val="24"/>
        </w:rPr>
      </w:pPr>
      <w:r>
        <w:rPr>
          <w:rFonts w:hint="eastAsia" w:ascii="宋体" w:hAnsi="宋体" w:cs="仿宋_GB2312"/>
          <w:sz w:val="24"/>
          <w:szCs w:val="24"/>
        </w:rPr>
        <w:t>故障应急处理</w:t>
      </w:r>
    </w:p>
    <w:p w14:paraId="162D8C9A">
      <w:pPr>
        <w:spacing w:line="360" w:lineRule="auto"/>
        <w:ind w:firstLine="960" w:firstLineChars="400"/>
        <w:rPr>
          <w:rFonts w:ascii="宋体" w:hAnsi="宋体" w:cs="仿宋_GB2312"/>
          <w:sz w:val="24"/>
          <w:szCs w:val="24"/>
        </w:rPr>
      </w:pPr>
      <w:r>
        <w:rPr>
          <w:rFonts w:hint="eastAsia" w:ascii="宋体" w:hAnsi="宋体" w:cs="仿宋_GB2312"/>
          <w:sz w:val="24"/>
          <w:szCs w:val="24"/>
        </w:rPr>
        <w:t>故障响应：市电中断时若 UPS 无法切换至电池模式，或出现过载、短路报警，1 小时内（海淀院区）/2 小时内（昌平院区）抵达现场；</w:t>
      </w:r>
    </w:p>
    <w:p w14:paraId="6C77B9D2">
      <w:pPr>
        <w:spacing w:line="360" w:lineRule="auto"/>
        <w:ind w:firstLine="960" w:firstLineChars="400"/>
        <w:rPr>
          <w:rFonts w:ascii="宋体" w:hAnsi="宋体" w:cs="仿宋_GB2312"/>
          <w:sz w:val="24"/>
          <w:szCs w:val="24"/>
        </w:rPr>
      </w:pPr>
      <w:r>
        <w:rPr>
          <w:rFonts w:hint="eastAsia" w:ascii="宋体" w:hAnsi="宋体" w:cs="仿宋_GB2312"/>
          <w:sz w:val="24"/>
          <w:szCs w:val="24"/>
        </w:rPr>
        <w:t>故障修复：一般故障（如风扇故障、报警误报）：4 小时内更换部件，恢复正常运行；重大故障（如逆变器损坏、电池组失效）：立即启用备用 UPS（若有），24 小时内完成核心部件更换，修复后进行 72 小时带载测试；</w:t>
      </w:r>
    </w:p>
    <w:p w14:paraId="4820B13D">
      <w:pPr>
        <w:spacing w:line="360" w:lineRule="auto"/>
        <w:ind w:firstLine="960" w:firstLineChars="400"/>
        <w:rPr>
          <w:rFonts w:ascii="宋体" w:hAnsi="宋体" w:cs="仿宋_GB2312"/>
          <w:sz w:val="24"/>
          <w:szCs w:val="24"/>
        </w:rPr>
      </w:pPr>
      <w:r>
        <w:rPr>
          <w:rFonts w:hint="eastAsia" w:ascii="宋体" w:hAnsi="宋体" w:cs="仿宋_GB2312"/>
          <w:sz w:val="24"/>
          <w:szCs w:val="24"/>
        </w:rPr>
        <w:t>预案优化：根据故障案例，更新《UPS 应急供电预案》，定期协助医院开展断电演练。</w:t>
      </w:r>
    </w:p>
    <w:p w14:paraId="293C460E">
      <w:pPr>
        <w:pStyle w:val="58"/>
        <w:numPr>
          <w:ilvl w:val="0"/>
          <w:numId w:val="10"/>
        </w:numPr>
        <w:spacing w:line="360" w:lineRule="auto"/>
        <w:ind w:firstLineChars="0"/>
        <w:rPr>
          <w:rFonts w:ascii="宋体" w:hAnsi="宋体" w:cs="仿宋_GB2312"/>
          <w:sz w:val="24"/>
          <w:szCs w:val="24"/>
        </w:rPr>
      </w:pPr>
      <w:r>
        <w:rPr>
          <w:rFonts w:hint="eastAsia" w:ascii="宋体" w:hAnsi="宋体" w:cs="仿宋_GB2312"/>
          <w:sz w:val="24"/>
          <w:szCs w:val="24"/>
        </w:rPr>
        <w:t>动环监控系统维护服务</w:t>
      </w:r>
    </w:p>
    <w:p w14:paraId="08585936">
      <w:pPr>
        <w:spacing w:line="360" w:lineRule="auto"/>
        <w:ind w:firstLine="960" w:firstLineChars="400"/>
        <w:rPr>
          <w:rFonts w:ascii="宋体" w:hAnsi="宋体" w:cs="仿宋_GB2312"/>
          <w:sz w:val="24"/>
          <w:szCs w:val="24"/>
        </w:rPr>
      </w:pPr>
      <w:r>
        <w:rPr>
          <w:rFonts w:hint="eastAsia" w:ascii="宋体" w:hAnsi="宋体" w:cs="仿宋_GB2312"/>
          <w:sz w:val="24"/>
          <w:szCs w:val="24"/>
        </w:rPr>
        <w:t>定期巡检与优化</w:t>
      </w:r>
    </w:p>
    <w:p w14:paraId="40632317">
      <w:pPr>
        <w:spacing w:line="360" w:lineRule="auto"/>
        <w:ind w:firstLine="960" w:firstLineChars="400"/>
        <w:rPr>
          <w:rFonts w:ascii="宋体" w:hAnsi="宋体" w:cs="仿宋_GB2312"/>
          <w:sz w:val="24"/>
          <w:szCs w:val="24"/>
        </w:rPr>
      </w:pPr>
      <w:r>
        <w:rPr>
          <w:rFonts w:hint="eastAsia" w:ascii="宋体" w:hAnsi="宋体" w:cs="仿宋_GB2312"/>
          <w:sz w:val="24"/>
          <w:szCs w:val="24"/>
        </w:rPr>
        <w:t>月度巡检（每月至少</w:t>
      </w:r>
      <w:r>
        <w:rPr>
          <w:rFonts w:ascii="宋体" w:hAnsi="宋体" w:cs="仿宋_GB2312"/>
          <w:sz w:val="24"/>
          <w:szCs w:val="24"/>
        </w:rPr>
        <w:t>1</w:t>
      </w:r>
      <w:r>
        <w:rPr>
          <w:rFonts w:hint="eastAsia" w:ascii="宋体" w:hAnsi="宋体" w:cs="仿宋_GB2312"/>
          <w:sz w:val="24"/>
          <w:szCs w:val="24"/>
        </w:rPr>
        <w:t>次）</w:t>
      </w:r>
    </w:p>
    <w:p w14:paraId="36460538">
      <w:pPr>
        <w:spacing w:line="360" w:lineRule="auto"/>
        <w:ind w:firstLine="960" w:firstLineChars="400"/>
        <w:rPr>
          <w:rFonts w:ascii="宋体" w:hAnsi="宋体" w:cs="仿宋_GB2312"/>
          <w:sz w:val="24"/>
          <w:szCs w:val="24"/>
        </w:rPr>
      </w:pPr>
      <w:r>
        <w:rPr>
          <w:rFonts w:hint="eastAsia" w:ascii="宋体" w:hAnsi="宋体" w:cs="仿宋_GB2312"/>
          <w:sz w:val="24"/>
          <w:szCs w:val="24"/>
        </w:rPr>
        <w:t>传感器检查：检查温湿度、电压电流、门禁等传感器安装牢固，数据采集正常，无离线、数据漂移现象；</w:t>
      </w:r>
    </w:p>
    <w:p w14:paraId="37430358">
      <w:pPr>
        <w:spacing w:line="360" w:lineRule="auto"/>
        <w:ind w:firstLine="960" w:firstLineChars="400"/>
        <w:rPr>
          <w:rFonts w:ascii="宋体" w:hAnsi="宋体" w:cs="仿宋_GB2312"/>
          <w:sz w:val="24"/>
          <w:szCs w:val="24"/>
        </w:rPr>
      </w:pPr>
      <w:r>
        <w:rPr>
          <w:rFonts w:hint="eastAsia" w:ascii="宋体" w:hAnsi="宋体" w:cs="仿宋_GB2312"/>
          <w:sz w:val="24"/>
          <w:szCs w:val="24"/>
        </w:rPr>
        <w:t>平台监测：登录监控平台，查看数据传输延迟（≤10 秒），检查报警功能（如温湿度超标、门禁异常）是否正常触发，无漏报、误报；</w:t>
      </w:r>
    </w:p>
    <w:p w14:paraId="20E4242F">
      <w:pPr>
        <w:spacing w:line="360" w:lineRule="auto"/>
        <w:ind w:firstLine="960" w:firstLineChars="400"/>
        <w:rPr>
          <w:rFonts w:ascii="宋体" w:hAnsi="宋体" w:cs="仿宋_GB2312"/>
          <w:sz w:val="24"/>
          <w:szCs w:val="24"/>
        </w:rPr>
      </w:pPr>
      <w:r>
        <w:rPr>
          <w:rFonts w:hint="eastAsia" w:ascii="宋体" w:hAnsi="宋体" w:cs="仿宋_GB2312"/>
          <w:sz w:val="24"/>
          <w:szCs w:val="24"/>
        </w:rPr>
        <w:t>设备清洁：清洁传感器探头、摄像头镜头，确保数据采集准确、画面清晰。</w:t>
      </w:r>
    </w:p>
    <w:p w14:paraId="6B4CD10D">
      <w:pPr>
        <w:spacing w:line="360" w:lineRule="auto"/>
        <w:ind w:firstLine="960" w:firstLineChars="400"/>
        <w:rPr>
          <w:rFonts w:ascii="宋体" w:hAnsi="宋体" w:cs="仿宋_GB2312"/>
          <w:sz w:val="24"/>
          <w:szCs w:val="24"/>
        </w:rPr>
      </w:pPr>
      <w:r>
        <w:rPr>
          <w:rFonts w:hint="eastAsia" w:ascii="宋体" w:hAnsi="宋体" w:cs="仿宋_GB2312"/>
          <w:sz w:val="24"/>
          <w:szCs w:val="24"/>
        </w:rPr>
        <w:t>季度优化（每3个月至少 1 次）</w:t>
      </w:r>
    </w:p>
    <w:p w14:paraId="7CFCBF7A">
      <w:pPr>
        <w:spacing w:line="360" w:lineRule="auto"/>
        <w:ind w:firstLine="960" w:firstLineChars="400"/>
        <w:rPr>
          <w:rFonts w:ascii="宋体" w:hAnsi="宋体" w:cs="仿宋_GB2312"/>
          <w:sz w:val="24"/>
          <w:szCs w:val="24"/>
        </w:rPr>
      </w:pPr>
      <w:r>
        <w:rPr>
          <w:rFonts w:hint="eastAsia" w:ascii="宋体" w:hAnsi="宋体" w:cs="仿宋_GB2312"/>
          <w:sz w:val="24"/>
          <w:szCs w:val="24"/>
        </w:rPr>
        <w:t>数据校准：使用标准设备校准温湿度传感器（精度 ±0.5℃/±3%）、电压电流传感器（精度 ±0.5%），修正数据偏差；</w:t>
      </w:r>
    </w:p>
    <w:p w14:paraId="074AB0EC">
      <w:pPr>
        <w:spacing w:line="360" w:lineRule="auto"/>
        <w:ind w:firstLine="960" w:firstLineChars="400"/>
        <w:rPr>
          <w:rFonts w:ascii="宋体" w:hAnsi="宋体" w:cs="仿宋_GB2312"/>
          <w:sz w:val="24"/>
          <w:szCs w:val="24"/>
        </w:rPr>
      </w:pPr>
      <w:r>
        <w:rPr>
          <w:rFonts w:hint="eastAsia" w:ascii="宋体" w:hAnsi="宋体" w:cs="仿宋_GB2312"/>
          <w:sz w:val="24"/>
          <w:szCs w:val="24"/>
        </w:rPr>
        <w:t>平台维护：清理监控平台冗余数据，优化数据库性能，确保数据查询、报表生成流畅；</w:t>
      </w:r>
    </w:p>
    <w:p w14:paraId="5771FC1D">
      <w:pPr>
        <w:spacing w:line="360" w:lineRule="auto"/>
        <w:ind w:firstLine="960" w:firstLineChars="400"/>
        <w:rPr>
          <w:rFonts w:ascii="宋体" w:hAnsi="宋体" w:cs="仿宋_GB2312"/>
          <w:sz w:val="24"/>
          <w:szCs w:val="24"/>
        </w:rPr>
      </w:pPr>
      <w:r>
        <w:rPr>
          <w:rFonts w:hint="eastAsia" w:ascii="宋体" w:hAnsi="宋体" w:cs="仿宋_GB2312"/>
          <w:sz w:val="24"/>
          <w:szCs w:val="24"/>
        </w:rPr>
        <w:t>功能检查：测试监控平台远程控制功能（如空调开关机、灯光控制），确保指令执行准确。</w:t>
      </w:r>
    </w:p>
    <w:p w14:paraId="4AE1CF15">
      <w:pPr>
        <w:spacing w:line="360" w:lineRule="auto"/>
        <w:ind w:firstLine="960" w:firstLineChars="400"/>
        <w:rPr>
          <w:rFonts w:ascii="宋体" w:hAnsi="宋体" w:cs="仿宋_GB2312"/>
          <w:sz w:val="24"/>
          <w:szCs w:val="24"/>
        </w:rPr>
      </w:pPr>
      <w:r>
        <w:rPr>
          <w:rFonts w:hint="eastAsia" w:ascii="宋体" w:hAnsi="宋体" w:cs="仿宋_GB2312"/>
          <w:sz w:val="24"/>
          <w:szCs w:val="24"/>
        </w:rPr>
        <w:t>年度升级（每年至少1次）</w:t>
      </w:r>
    </w:p>
    <w:p w14:paraId="53D23DB5">
      <w:pPr>
        <w:spacing w:line="360" w:lineRule="auto"/>
        <w:ind w:firstLine="960" w:firstLineChars="400"/>
        <w:rPr>
          <w:rFonts w:ascii="宋体" w:hAnsi="宋体" w:cs="仿宋_GB2312"/>
          <w:sz w:val="24"/>
          <w:szCs w:val="24"/>
        </w:rPr>
      </w:pPr>
      <w:r>
        <w:rPr>
          <w:rFonts w:hint="eastAsia" w:ascii="宋体" w:hAnsi="宋体" w:cs="仿宋_GB2312"/>
          <w:sz w:val="24"/>
          <w:szCs w:val="24"/>
        </w:rPr>
        <w:t>系统升级：更新监控软件版本，新增数据趋势分析、故障预测等功能（如基于历史数据预测空调滤网更换周期）；</w:t>
      </w:r>
    </w:p>
    <w:p w14:paraId="439623DE">
      <w:pPr>
        <w:spacing w:line="360" w:lineRule="auto"/>
        <w:ind w:firstLine="960" w:firstLineChars="400"/>
        <w:rPr>
          <w:rFonts w:ascii="宋体" w:hAnsi="宋体" w:cs="仿宋_GB2312"/>
          <w:sz w:val="24"/>
          <w:szCs w:val="24"/>
        </w:rPr>
      </w:pPr>
      <w:r>
        <w:rPr>
          <w:rFonts w:hint="eastAsia" w:ascii="宋体" w:hAnsi="宋体" w:cs="仿宋_GB2312"/>
          <w:sz w:val="24"/>
          <w:szCs w:val="24"/>
        </w:rPr>
        <w:t>设备评估：对运行超 8 年的传感器、监控主机进行性能评估，提出设备更新建议；</w:t>
      </w:r>
    </w:p>
    <w:p w14:paraId="71EAD0B0">
      <w:pPr>
        <w:spacing w:line="360" w:lineRule="auto"/>
        <w:ind w:firstLine="960" w:firstLineChars="400"/>
        <w:rPr>
          <w:rFonts w:ascii="宋体" w:hAnsi="宋体" w:cs="仿宋_GB2312"/>
          <w:sz w:val="24"/>
          <w:szCs w:val="24"/>
        </w:rPr>
      </w:pPr>
      <w:r>
        <w:rPr>
          <w:rFonts w:hint="eastAsia" w:ascii="宋体" w:hAnsi="宋体" w:cs="仿宋_GB2312"/>
          <w:sz w:val="24"/>
          <w:szCs w:val="24"/>
        </w:rPr>
        <w:t>报表优化：根据医院需求，定制《机房环境月度报告》《设备运行年度分析报告》，直观呈现运维数据。</w:t>
      </w:r>
    </w:p>
    <w:p w14:paraId="5854F65C">
      <w:pPr>
        <w:spacing w:line="360" w:lineRule="auto"/>
        <w:ind w:firstLine="960" w:firstLineChars="400"/>
        <w:rPr>
          <w:rFonts w:ascii="宋体" w:hAnsi="宋体" w:cs="仿宋_GB2312"/>
          <w:sz w:val="24"/>
          <w:szCs w:val="24"/>
        </w:rPr>
      </w:pPr>
      <w:r>
        <w:rPr>
          <w:rFonts w:hint="eastAsia" w:ascii="宋体" w:hAnsi="宋体" w:cs="仿宋_GB2312"/>
          <w:sz w:val="24"/>
          <w:szCs w:val="24"/>
        </w:rPr>
        <w:t>故障应急处理</w:t>
      </w:r>
    </w:p>
    <w:p w14:paraId="4E7BFC2A">
      <w:pPr>
        <w:spacing w:line="360" w:lineRule="auto"/>
        <w:ind w:firstLine="960" w:firstLineChars="400"/>
        <w:rPr>
          <w:rFonts w:ascii="宋体" w:hAnsi="宋体" w:cs="仿宋_GB2312"/>
          <w:sz w:val="24"/>
          <w:szCs w:val="24"/>
        </w:rPr>
      </w:pPr>
      <w:r>
        <w:rPr>
          <w:rFonts w:hint="eastAsia" w:ascii="宋体" w:hAnsi="宋体" w:cs="仿宋_GB2312"/>
          <w:sz w:val="24"/>
          <w:szCs w:val="24"/>
        </w:rPr>
        <w:t>故障响应：监控平台出现大面积传感器离线、数据中断，或报警功能失效，1 小时内（海淀院区）/2 小时内（昌平院区）抵达现场；</w:t>
      </w:r>
    </w:p>
    <w:p w14:paraId="0585C1CF">
      <w:pPr>
        <w:spacing w:line="360" w:lineRule="auto"/>
        <w:ind w:firstLine="960" w:firstLineChars="400"/>
        <w:rPr>
          <w:rFonts w:ascii="宋体" w:hAnsi="宋体" w:cs="仿宋_GB2312"/>
          <w:sz w:val="24"/>
          <w:szCs w:val="24"/>
        </w:rPr>
      </w:pPr>
      <w:r>
        <w:rPr>
          <w:rFonts w:hint="eastAsia" w:ascii="宋体" w:hAnsi="宋体" w:cs="仿宋_GB2312"/>
          <w:sz w:val="24"/>
          <w:szCs w:val="24"/>
        </w:rPr>
        <w:t>故障修复：一般故障（如传感器故障、网络连接异常）：4 小时内修复或更换传感器，恢复数据传输；重大故障（如监控主机崩溃、平台软件故障）：立即启用备用监控终端（若有），24 小时内修复系统，恢复全部监控功能；</w:t>
      </w:r>
    </w:p>
    <w:p w14:paraId="7768E0E9">
      <w:pPr>
        <w:spacing w:line="360" w:lineRule="auto"/>
        <w:ind w:firstLine="960" w:firstLineChars="400"/>
        <w:rPr>
          <w:rFonts w:ascii="宋体" w:hAnsi="宋体" w:cs="仿宋_GB2312"/>
          <w:sz w:val="24"/>
          <w:szCs w:val="24"/>
        </w:rPr>
      </w:pPr>
      <w:r>
        <w:rPr>
          <w:rFonts w:hint="eastAsia" w:ascii="宋体" w:hAnsi="宋体" w:cs="仿宋_GB2312"/>
          <w:sz w:val="24"/>
          <w:szCs w:val="24"/>
        </w:rPr>
        <w:t>数据恢复：若因故障导致监控数据丢失，协助医院从备份数据库恢复近 3 个月数据，确保数据完整性。</w:t>
      </w:r>
    </w:p>
    <w:p w14:paraId="0D894C20">
      <w:pPr>
        <w:pStyle w:val="58"/>
        <w:numPr>
          <w:ilvl w:val="0"/>
          <w:numId w:val="10"/>
        </w:numPr>
        <w:spacing w:line="360" w:lineRule="auto"/>
        <w:ind w:firstLineChars="0"/>
        <w:rPr>
          <w:rFonts w:ascii="宋体" w:hAnsi="宋体" w:cs="仿宋_GB2312"/>
          <w:sz w:val="24"/>
          <w:szCs w:val="24"/>
        </w:rPr>
      </w:pPr>
      <w:r>
        <w:rPr>
          <w:rFonts w:hint="eastAsia" w:ascii="宋体" w:hAnsi="宋体" w:cs="仿宋_GB2312"/>
          <w:sz w:val="24"/>
          <w:szCs w:val="24"/>
        </w:rPr>
        <w:t>其他设备维护（多功能移动护理车、轻型移动医生车、移动客户端）</w:t>
      </w:r>
    </w:p>
    <w:p w14:paraId="673A164E">
      <w:pPr>
        <w:spacing w:line="360" w:lineRule="auto"/>
        <w:ind w:firstLine="960" w:firstLineChars="400"/>
        <w:rPr>
          <w:rFonts w:ascii="宋体" w:hAnsi="宋体" w:cs="仿宋_GB2312"/>
          <w:sz w:val="24"/>
          <w:szCs w:val="24"/>
        </w:rPr>
      </w:pPr>
      <w:r>
        <w:rPr>
          <w:rFonts w:hint="eastAsia" w:ascii="宋体" w:hAnsi="宋体" w:cs="仿宋_GB2312"/>
          <w:sz w:val="24"/>
          <w:szCs w:val="24"/>
        </w:rPr>
        <w:t>定期维护：周期性深度保养定期维护侧重部件寿命延长与潜在故障排查，需按固定周期执行，由专业维修人员负责。</w:t>
      </w:r>
    </w:p>
    <w:p w14:paraId="3A768E65">
      <w:pPr>
        <w:spacing w:line="360" w:lineRule="auto"/>
        <w:ind w:firstLine="960" w:firstLineChars="400"/>
        <w:rPr>
          <w:rFonts w:ascii="宋体" w:hAnsi="宋体" w:cs="仿宋_GB2312"/>
          <w:sz w:val="24"/>
          <w:szCs w:val="24"/>
        </w:rPr>
      </w:pPr>
      <w:r>
        <w:rPr>
          <w:rFonts w:hint="eastAsia" w:ascii="宋体" w:hAnsi="宋体" w:cs="仿宋_GB2312"/>
          <w:sz w:val="24"/>
          <w:szCs w:val="24"/>
        </w:rPr>
        <w:t>故障响应：监控平台出现大面积传感器离线、数据中断，或报警功能失效，1 小时内（海淀院区）/2 小时内（昌平院区）抵达现场；</w:t>
      </w:r>
    </w:p>
    <w:p w14:paraId="71418D48">
      <w:pPr>
        <w:spacing w:line="360" w:lineRule="auto"/>
        <w:ind w:firstLine="960" w:firstLineChars="400"/>
        <w:rPr>
          <w:rFonts w:ascii="宋体" w:hAnsi="宋体" w:cs="仿宋_GB2312"/>
          <w:sz w:val="24"/>
          <w:szCs w:val="24"/>
        </w:rPr>
      </w:pPr>
      <w:r>
        <w:rPr>
          <w:rFonts w:hint="eastAsia" w:ascii="宋体" w:hAnsi="宋体" w:cs="仿宋_GB2312"/>
          <w:sz w:val="24"/>
          <w:szCs w:val="24"/>
        </w:rPr>
        <w:t>故障修复：一般故障（如传感器故障、网络连接异常）：4 小时内修复或更换传感器，恢复数据传输；重大故障（如主机崩溃、平台软件故障）：立即启用备用终端（若有），24 小时内修复系统，恢复全部功能。</w:t>
      </w:r>
    </w:p>
    <w:p w14:paraId="7AD60621">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第三条、费用及付款方式</w:t>
      </w:r>
    </w:p>
    <w:p w14:paraId="7FB60D4E">
      <w:pPr>
        <w:spacing w:line="360" w:lineRule="auto"/>
        <w:ind w:firstLine="480" w:firstLineChars="200"/>
        <w:rPr>
          <w:rFonts w:ascii="宋体" w:hAnsi="宋体" w:cs="新宋体"/>
          <w:sz w:val="24"/>
          <w:szCs w:val="24"/>
          <w:u w:val="single"/>
        </w:rPr>
      </w:pPr>
      <w:r>
        <w:rPr>
          <w:rFonts w:hint="eastAsia" w:ascii="宋体" w:hAnsi="宋体" w:cs="新宋体"/>
          <w:sz w:val="24"/>
          <w:szCs w:val="24"/>
        </w:rPr>
        <w:t>1、北京大学第六医院硬件及桌面运维采购项目总价款（含税）为:</w:t>
      </w:r>
      <w:r>
        <w:rPr>
          <w:rFonts w:hint="eastAsia" w:ascii="宋体" w:hAnsi="宋体" w:cs="新宋体"/>
          <w:sz w:val="24"/>
          <w:szCs w:val="24"/>
          <w:u w:val="single"/>
        </w:rPr>
        <w:t xml:space="preserve">            元</w:t>
      </w:r>
      <w:r>
        <w:rPr>
          <w:rFonts w:hint="eastAsia" w:ascii="宋体" w:hAnsi="宋体" w:cs="新宋体"/>
          <w:sz w:val="24"/>
          <w:szCs w:val="24"/>
        </w:rPr>
        <w:t>，大写人民币:</w:t>
      </w:r>
      <w:r>
        <w:rPr>
          <w:rFonts w:hint="eastAsia" w:ascii="宋体" w:hAnsi="宋体" w:cs="新宋体"/>
          <w:sz w:val="24"/>
          <w:szCs w:val="24"/>
          <w:u w:val="single"/>
        </w:rPr>
        <w:t xml:space="preserve">             。</w:t>
      </w:r>
    </w:p>
    <w:p w14:paraId="06296A24">
      <w:pPr>
        <w:spacing w:line="360" w:lineRule="auto"/>
        <w:ind w:firstLine="480" w:firstLineChars="200"/>
        <w:rPr>
          <w:rFonts w:ascii="宋体" w:hAnsi="宋体" w:cs="新宋体"/>
          <w:sz w:val="24"/>
          <w:szCs w:val="24"/>
        </w:rPr>
      </w:pPr>
      <w:r>
        <w:rPr>
          <w:rFonts w:hint="eastAsia" w:ascii="宋体" w:hAnsi="宋体" w:cs="新宋体"/>
          <w:sz w:val="24"/>
          <w:szCs w:val="24"/>
        </w:rPr>
        <w:t>2、系统维护和技术服务费用的结算方式与结算时间：</w:t>
      </w:r>
    </w:p>
    <w:p w14:paraId="7DD9A3D7">
      <w:pPr>
        <w:spacing w:line="360" w:lineRule="auto"/>
        <w:ind w:firstLine="480" w:firstLineChars="200"/>
        <w:rPr>
          <w:rFonts w:ascii="宋体" w:hAnsi="宋体"/>
          <w:sz w:val="24"/>
          <w:szCs w:val="24"/>
        </w:rPr>
      </w:pPr>
      <w:r>
        <w:rPr>
          <w:rFonts w:hint="eastAsia" w:ascii="宋体" w:hAnsi="宋体" w:cs="新宋体"/>
          <w:sz w:val="24"/>
          <w:szCs w:val="24"/>
        </w:rPr>
        <w:t>甲方按以下时间向乙方支付技术服务费用：</w:t>
      </w:r>
      <w:r>
        <w:rPr>
          <w:rFonts w:hint="eastAsia" w:ascii="宋体" w:hAnsi="宋体"/>
          <w:sz w:val="24"/>
          <w:szCs w:val="24"/>
        </w:rPr>
        <w:t>甲方应于本合同生效后，甲方在收到以下单据，并确认无误后，1</w:t>
      </w:r>
      <w:r>
        <w:rPr>
          <w:rFonts w:ascii="宋体" w:hAnsi="宋体"/>
          <w:sz w:val="24"/>
          <w:szCs w:val="24"/>
        </w:rPr>
        <w:t>5</w:t>
      </w:r>
      <w:r>
        <w:rPr>
          <w:rFonts w:hint="eastAsia" w:ascii="宋体" w:hAnsi="宋体"/>
          <w:sz w:val="24"/>
          <w:szCs w:val="24"/>
        </w:rPr>
        <w:t xml:space="preserve">日内向乙方支付本合同金额的100%，计人民币 </w:t>
      </w:r>
      <w:r>
        <w:rPr>
          <w:rFonts w:ascii="宋体" w:hAnsi="宋体"/>
          <w:sz w:val="24"/>
          <w:szCs w:val="24"/>
        </w:rPr>
        <w:t xml:space="preserve">      </w:t>
      </w:r>
      <w:r>
        <w:rPr>
          <w:rFonts w:hint="eastAsia" w:ascii="宋体" w:hAnsi="宋体"/>
          <w:sz w:val="24"/>
          <w:szCs w:val="24"/>
        </w:rPr>
        <w:t xml:space="preserve">（大写： </w:t>
      </w:r>
      <w:r>
        <w:rPr>
          <w:rFonts w:ascii="宋体" w:hAnsi="宋体"/>
          <w:sz w:val="24"/>
          <w:szCs w:val="24"/>
        </w:rPr>
        <w:t xml:space="preserve">         </w:t>
      </w:r>
      <w:r>
        <w:rPr>
          <w:rFonts w:hint="eastAsia" w:ascii="宋体" w:hAnsi="宋体"/>
          <w:sz w:val="24"/>
          <w:szCs w:val="24"/>
        </w:rPr>
        <w:t xml:space="preserve">）。 </w:t>
      </w:r>
    </w:p>
    <w:p w14:paraId="216F7B39">
      <w:pPr>
        <w:spacing w:line="360" w:lineRule="auto"/>
        <w:ind w:firstLine="480" w:firstLineChars="200"/>
        <w:rPr>
          <w:rFonts w:ascii="宋体" w:hAnsi="宋体" w:cs="新宋体"/>
          <w:sz w:val="24"/>
          <w:szCs w:val="24"/>
        </w:rPr>
      </w:pPr>
      <w:r>
        <w:rPr>
          <w:rFonts w:hint="eastAsia" w:ascii="宋体" w:hAnsi="宋体" w:cs="新宋体"/>
          <w:sz w:val="24"/>
          <w:szCs w:val="24"/>
        </w:rPr>
        <w:t>付款条件：</w:t>
      </w:r>
    </w:p>
    <w:p w14:paraId="4CD706F5">
      <w:pPr>
        <w:spacing w:line="360" w:lineRule="auto"/>
        <w:ind w:firstLine="480" w:firstLineChars="200"/>
        <w:rPr>
          <w:rFonts w:ascii="宋体" w:hAnsi="宋体" w:cs="新宋体"/>
          <w:sz w:val="24"/>
          <w:szCs w:val="24"/>
        </w:rPr>
      </w:pPr>
      <w:r>
        <w:rPr>
          <w:rFonts w:hint="eastAsia" w:ascii="宋体" w:hAnsi="宋体" w:cs="新宋体"/>
          <w:sz w:val="24"/>
          <w:szCs w:val="24"/>
        </w:rPr>
        <w:t>乙方向甲方提出付款申请；</w:t>
      </w:r>
    </w:p>
    <w:p w14:paraId="7032C941">
      <w:pPr>
        <w:spacing w:line="360" w:lineRule="auto"/>
        <w:ind w:firstLine="480" w:firstLineChars="200"/>
        <w:rPr>
          <w:rFonts w:ascii="宋体" w:hAnsi="宋体" w:cs="新宋体"/>
          <w:sz w:val="24"/>
          <w:szCs w:val="24"/>
        </w:rPr>
      </w:pPr>
      <w:r>
        <w:rPr>
          <w:rFonts w:hint="eastAsia" w:ascii="宋体" w:hAnsi="宋体" w:cs="新宋体"/>
          <w:sz w:val="24"/>
          <w:szCs w:val="24"/>
        </w:rPr>
        <w:t>乙方向甲方提供相应金额的增值税普通发票。</w:t>
      </w:r>
    </w:p>
    <w:p w14:paraId="675FC42A">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第四条、双方权利和义务</w:t>
      </w:r>
    </w:p>
    <w:p w14:paraId="5FF55B58">
      <w:pPr>
        <w:spacing w:line="360" w:lineRule="auto"/>
        <w:ind w:firstLine="480" w:firstLineChars="200"/>
        <w:rPr>
          <w:rFonts w:ascii="宋体" w:hAnsi="宋体" w:cs="新宋体"/>
          <w:sz w:val="24"/>
          <w:szCs w:val="24"/>
        </w:rPr>
      </w:pPr>
      <w:r>
        <w:rPr>
          <w:rFonts w:hint="eastAsia" w:ascii="宋体" w:hAnsi="宋体" w:cs="新宋体"/>
          <w:sz w:val="24"/>
          <w:szCs w:val="24"/>
        </w:rPr>
        <w:t>1、甲方有义务为乙方的现场维护和技术服务人员提供必要的工作条件和工作便利，包括工作桌椅、固定电话、出入许可等。</w:t>
      </w:r>
    </w:p>
    <w:p w14:paraId="62BE21DF">
      <w:pPr>
        <w:spacing w:line="360" w:lineRule="auto"/>
        <w:ind w:firstLine="480" w:firstLineChars="200"/>
        <w:rPr>
          <w:rFonts w:ascii="宋体" w:hAnsi="宋体" w:cs="新宋体"/>
          <w:sz w:val="24"/>
          <w:szCs w:val="24"/>
        </w:rPr>
      </w:pPr>
      <w:r>
        <w:rPr>
          <w:rFonts w:hint="eastAsia" w:ascii="宋体" w:hAnsi="宋体" w:cs="新宋体"/>
          <w:sz w:val="24"/>
          <w:szCs w:val="24"/>
        </w:rPr>
        <w:t>2、甲方有权获得本合同所约定的各项服务。</w:t>
      </w:r>
    </w:p>
    <w:p w14:paraId="33265F39">
      <w:pPr>
        <w:spacing w:line="360" w:lineRule="auto"/>
        <w:ind w:firstLine="480" w:firstLineChars="200"/>
        <w:rPr>
          <w:rFonts w:ascii="宋体" w:hAnsi="宋体" w:cs="新宋体"/>
          <w:sz w:val="24"/>
          <w:szCs w:val="24"/>
        </w:rPr>
      </w:pPr>
      <w:r>
        <w:rPr>
          <w:rFonts w:hint="eastAsia" w:ascii="宋体" w:hAnsi="宋体" w:cs="新宋体"/>
          <w:sz w:val="24"/>
          <w:szCs w:val="24"/>
        </w:rPr>
        <w:t>3、甲方有义务遵守本合同的各项条款并按本合同约定的期限向乙方支付服务费用。</w:t>
      </w:r>
    </w:p>
    <w:p w14:paraId="621FE72B">
      <w:pPr>
        <w:spacing w:line="360" w:lineRule="auto"/>
        <w:ind w:firstLine="480" w:firstLineChars="200"/>
        <w:rPr>
          <w:rFonts w:ascii="宋体" w:hAnsi="宋体" w:cs="新宋体"/>
          <w:sz w:val="24"/>
          <w:szCs w:val="24"/>
        </w:rPr>
      </w:pPr>
      <w:r>
        <w:rPr>
          <w:rFonts w:hint="eastAsia" w:ascii="宋体" w:hAnsi="宋体" w:cs="新宋体"/>
          <w:sz w:val="24"/>
          <w:szCs w:val="24"/>
        </w:rPr>
        <w:t>4、乙方有权获得本合同所约定的各项服务报酬。</w:t>
      </w:r>
    </w:p>
    <w:p w14:paraId="7CF4582D">
      <w:pPr>
        <w:spacing w:line="360" w:lineRule="auto"/>
        <w:ind w:firstLine="480" w:firstLineChars="200"/>
        <w:rPr>
          <w:rFonts w:ascii="宋体" w:hAnsi="宋体" w:cs="新宋体"/>
          <w:sz w:val="24"/>
          <w:szCs w:val="24"/>
        </w:rPr>
      </w:pPr>
      <w:r>
        <w:rPr>
          <w:rFonts w:hint="eastAsia" w:ascii="宋体" w:hAnsi="宋体" w:cs="新宋体"/>
          <w:sz w:val="24"/>
          <w:szCs w:val="24"/>
        </w:rPr>
        <w:t>5、乙方有义务遵守本合同的各项条款并按本合同约定向甲方提供服务。</w:t>
      </w:r>
    </w:p>
    <w:p w14:paraId="44E7A458">
      <w:pPr>
        <w:spacing w:line="360" w:lineRule="auto"/>
        <w:ind w:firstLine="480" w:firstLineChars="200"/>
        <w:rPr>
          <w:rFonts w:ascii="宋体" w:hAnsi="宋体" w:cs="新宋体"/>
          <w:b/>
          <w:bCs/>
          <w:sz w:val="24"/>
          <w:szCs w:val="24"/>
        </w:rPr>
      </w:pPr>
      <w:r>
        <w:rPr>
          <w:rFonts w:hint="eastAsia" w:ascii="宋体" w:hAnsi="宋体" w:cs="新宋体"/>
          <w:sz w:val="24"/>
          <w:szCs w:val="24"/>
        </w:rPr>
        <w:t>6、乙方提供的服务，甲方有权进行监督，并有权提出异议和意见，乙方应配合修改和更正。如果在具体的服务过程中，甲方需求变化，且工作量在合同约定范围内，乙方应予以接受。</w:t>
      </w:r>
    </w:p>
    <w:p w14:paraId="05989053">
      <w:pPr>
        <w:spacing w:line="360" w:lineRule="auto"/>
        <w:ind w:firstLine="482" w:firstLineChars="200"/>
        <w:rPr>
          <w:rFonts w:ascii="宋体" w:hAnsi="宋体" w:cs="新宋体"/>
          <w:b/>
          <w:bCs/>
          <w:sz w:val="24"/>
          <w:szCs w:val="24"/>
        </w:rPr>
      </w:pPr>
      <w:r>
        <w:rPr>
          <w:rFonts w:hint="eastAsia" w:ascii="宋体" w:hAnsi="宋体" w:cs="新宋体"/>
          <w:b/>
          <w:bCs/>
          <w:sz w:val="24"/>
          <w:szCs w:val="24"/>
        </w:rPr>
        <w:t>第五条、安全与保密</w:t>
      </w:r>
    </w:p>
    <w:p w14:paraId="48E57726">
      <w:pPr>
        <w:spacing w:line="360" w:lineRule="auto"/>
        <w:ind w:firstLine="480" w:firstLineChars="200"/>
        <w:rPr>
          <w:rFonts w:ascii="宋体" w:hAnsi="宋体" w:cs="新宋体"/>
          <w:sz w:val="24"/>
          <w:szCs w:val="24"/>
        </w:rPr>
      </w:pPr>
      <w:r>
        <w:rPr>
          <w:rFonts w:hint="eastAsia" w:ascii="宋体" w:hAnsi="宋体" w:cs="新宋体"/>
          <w:sz w:val="24"/>
          <w:szCs w:val="24"/>
        </w:rPr>
        <w:t>1、双方制定的系统维护计划、技术服务费用和相关软件技术资料属于商业机密，甲、乙任何一方不得向与本业务无关的第三方泄露。</w:t>
      </w:r>
    </w:p>
    <w:p w14:paraId="2618D315">
      <w:pPr>
        <w:spacing w:line="360" w:lineRule="auto"/>
        <w:ind w:firstLine="480" w:firstLineChars="200"/>
        <w:rPr>
          <w:rFonts w:ascii="宋体" w:hAnsi="宋体" w:cs="新宋体"/>
          <w:sz w:val="24"/>
          <w:szCs w:val="24"/>
        </w:rPr>
      </w:pPr>
      <w:r>
        <w:rPr>
          <w:rFonts w:hint="eastAsia" w:ascii="宋体" w:hAnsi="宋体" w:cs="新宋体"/>
          <w:sz w:val="24"/>
          <w:szCs w:val="24"/>
        </w:rPr>
        <w:t>2、甲、乙双方约定，不论本合同是否变更、解除、终止，本合同第六条均有效。</w:t>
      </w:r>
    </w:p>
    <w:p w14:paraId="2166A426">
      <w:pPr>
        <w:spacing w:line="360" w:lineRule="auto"/>
        <w:ind w:left="482"/>
        <w:rPr>
          <w:rFonts w:ascii="宋体" w:hAnsi="宋体" w:cs="新宋体"/>
          <w:b/>
          <w:bCs/>
          <w:sz w:val="24"/>
          <w:szCs w:val="24"/>
        </w:rPr>
      </w:pPr>
      <w:r>
        <w:rPr>
          <w:rFonts w:hint="eastAsia" w:ascii="宋体" w:hAnsi="宋体" w:cs="新宋体"/>
          <w:b/>
          <w:bCs/>
          <w:sz w:val="24"/>
          <w:szCs w:val="24"/>
        </w:rPr>
        <w:t>第六条、合同的变更与解除</w:t>
      </w:r>
    </w:p>
    <w:p w14:paraId="79B3FF46">
      <w:pPr>
        <w:numPr>
          <w:ilvl w:val="0"/>
          <w:numId w:val="11"/>
        </w:numPr>
        <w:spacing w:line="360" w:lineRule="auto"/>
        <w:ind w:firstLine="420" w:firstLineChars="175"/>
        <w:rPr>
          <w:rFonts w:ascii="宋体" w:hAnsi="宋体" w:cs="新宋体"/>
          <w:sz w:val="24"/>
          <w:szCs w:val="24"/>
        </w:rPr>
      </w:pPr>
      <w:r>
        <w:rPr>
          <w:rFonts w:hint="eastAsia" w:ascii="宋体" w:hAnsi="宋体" w:cs="新宋体"/>
          <w:sz w:val="24"/>
          <w:szCs w:val="24"/>
        </w:rPr>
        <w:t>本合同生效后，双方协商一致可变更合同，但应采取书面形式。</w:t>
      </w:r>
    </w:p>
    <w:p w14:paraId="0955067C">
      <w:pPr>
        <w:numPr>
          <w:ilvl w:val="0"/>
          <w:numId w:val="11"/>
        </w:numPr>
        <w:spacing w:line="360" w:lineRule="auto"/>
        <w:ind w:firstLine="420" w:firstLineChars="175"/>
        <w:rPr>
          <w:rFonts w:ascii="宋体" w:hAnsi="宋体" w:cs="新宋体"/>
          <w:sz w:val="24"/>
          <w:szCs w:val="24"/>
        </w:rPr>
      </w:pPr>
      <w:r>
        <w:rPr>
          <w:rFonts w:hint="eastAsia" w:ascii="宋体" w:hAnsi="宋体" w:cs="新宋体"/>
          <w:sz w:val="24"/>
          <w:szCs w:val="24"/>
        </w:rPr>
        <w:t>如乙方无法胜任此项工作任务，或乙方违反相关条款，甲方有权解除本合同。</w:t>
      </w:r>
    </w:p>
    <w:p w14:paraId="1DE685CF">
      <w:pPr>
        <w:spacing w:line="360" w:lineRule="auto"/>
        <w:ind w:left="482"/>
        <w:rPr>
          <w:rFonts w:ascii="宋体" w:hAnsi="宋体" w:cs="新宋体"/>
          <w:b/>
          <w:bCs/>
          <w:sz w:val="24"/>
          <w:szCs w:val="24"/>
        </w:rPr>
      </w:pPr>
      <w:r>
        <w:rPr>
          <w:rFonts w:hint="eastAsia" w:ascii="宋体" w:hAnsi="宋体" w:cs="新宋体"/>
          <w:b/>
          <w:bCs/>
          <w:sz w:val="24"/>
          <w:szCs w:val="24"/>
        </w:rPr>
        <w:t>第七条、不可抗力和延期执行</w:t>
      </w:r>
    </w:p>
    <w:p w14:paraId="2FA829F8">
      <w:pPr>
        <w:spacing w:line="360" w:lineRule="auto"/>
        <w:ind w:firstLine="480" w:firstLineChars="200"/>
        <w:rPr>
          <w:rFonts w:ascii="宋体" w:hAnsi="宋体" w:cs="新宋体"/>
          <w:sz w:val="24"/>
          <w:szCs w:val="24"/>
        </w:rPr>
      </w:pPr>
      <w:r>
        <w:rPr>
          <w:rFonts w:hint="eastAsia" w:ascii="宋体" w:hAnsi="宋体" w:cs="新宋体"/>
          <w:sz w:val="24"/>
          <w:szCs w:val="24"/>
        </w:rPr>
        <w:t>如果因战争、火灾、洪水、台风、地震、自然灾害等不可抗拒力因素造成某一方延期执行本合同，可顺延或解除合同，对由此而造成的损失，任何一方均不承担。无法执行本合同的一方必须在发生不可抗力后最短时间内通知对方，并在拾个工作日之内，由有关权威机构出具书面证明，挂号信通知对方。双方应尽快友好协商，以对是否继续进行本合同达成一致。</w:t>
      </w:r>
    </w:p>
    <w:p w14:paraId="615EEBC7">
      <w:pPr>
        <w:spacing w:line="360" w:lineRule="auto"/>
        <w:rPr>
          <w:rFonts w:ascii="宋体" w:hAnsi="宋体" w:cs="新宋体"/>
          <w:b/>
          <w:bCs/>
          <w:sz w:val="24"/>
          <w:szCs w:val="24"/>
        </w:rPr>
      </w:pPr>
      <w:r>
        <w:rPr>
          <w:rFonts w:hint="eastAsia" w:ascii="宋体" w:hAnsi="宋体" w:cs="新宋体"/>
          <w:b/>
          <w:bCs/>
          <w:sz w:val="24"/>
          <w:szCs w:val="24"/>
        </w:rPr>
        <w:tab/>
      </w:r>
      <w:r>
        <w:rPr>
          <w:rFonts w:hint="eastAsia" w:ascii="宋体" w:hAnsi="宋体" w:cs="新宋体"/>
          <w:b/>
          <w:bCs/>
          <w:sz w:val="24"/>
          <w:szCs w:val="24"/>
        </w:rPr>
        <w:t>第八条、知识产权</w:t>
      </w:r>
    </w:p>
    <w:p w14:paraId="11882596">
      <w:pPr>
        <w:pStyle w:val="62"/>
        <w:spacing w:line="360" w:lineRule="auto"/>
        <w:ind w:left="420" w:leftChars="200" w:firstLine="0" w:firstLineChars="0"/>
        <w:rPr>
          <w:rFonts w:ascii="宋体" w:hAnsi="宋体" w:cs="新宋体"/>
          <w:sz w:val="24"/>
        </w:rPr>
      </w:pPr>
      <w:r>
        <w:rPr>
          <w:rFonts w:hint="eastAsia" w:ascii="宋体" w:hAnsi="宋体" w:cs="新宋体"/>
          <w:sz w:val="24"/>
        </w:rPr>
        <w:t>1、合同履行过程中形成的知识产权归甲乙双方共同所有。</w:t>
      </w:r>
    </w:p>
    <w:p w14:paraId="2F169B5F">
      <w:pPr>
        <w:pStyle w:val="62"/>
        <w:spacing w:line="360" w:lineRule="auto"/>
        <w:ind w:left="420" w:leftChars="200" w:firstLine="0" w:firstLineChars="0"/>
        <w:rPr>
          <w:rFonts w:ascii="宋体" w:hAnsi="宋体" w:cs="新宋体"/>
          <w:sz w:val="24"/>
        </w:rPr>
      </w:pPr>
      <w:r>
        <w:rPr>
          <w:rFonts w:hint="eastAsia" w:ascii="宋体" w:hAnsi="宋体" w:cs="新宋体"/>
          <w:sz w:val="24"/>
        </w:rPr>
        <w:t>2、乙方为甲方提供的服务不得侵犯第三方知识产权，否则乙方应赔偿甲方信誉与实际经济损失。</w:t>
      </w:r>
    </w:p>
    <w:p w14:paraId="115367FA">
      <w:pPr>
        <w:spacing w:line="360" w:lineRule="auto"/>
        <w:ind w:firstLine="472" w:firstLineChars="196"/>
        <w:rPr>
          <w:rFonts w:ascii="宋体" w:hAnsi="宋体" w:cs="新宋体"/>
          <w:sz w:val="24"/>
          <w:szCs w:val="24"/>
        </w:rPr>
      </w:pPr>
      <w:r>
        <w:rPr>
          <w:rFonts w:hint="eastAsia" w:ascii="宋体" w:hAnsi="宋体" w:cs="新宋体"/>
          <w:b/>
          <w:bCs/>
          <w:sz w:val="24"/>
          <w:szCs w:val="24"/>
        </w:rPr>
        <w:t>第九条、违约责任</w:t>
      </w:r>
    </w:p>
    <w:p w14:paraId="47C89AD7">
      <w:pPr>
        <w:numPr>
          <w:ilvl w:val="0"/>
          <w:numId w:val="12"/>
        </w:numPr>
        <w:spacing w:line="360" w:lineRule="auto"/>
        <w:ind w:firstLine="480" w:firstLineChars="200"/>
        <w:rPr>
          <w:rFonts w:ascii="宋体" w:hAnsi="宋体" w:cs="新宋体"/>
          <w:sz w:val="24"/>
          <w:szCs w:val="24"/>
        </w:rPr>
      </w:pPr>
      <w:r>
        <w:rPr>
          <w:rFonts w:hint="eastAsia" w:ascii="宋体" w:hAnsi="宋体" w:cs="新宋体"/>
          <w:sz w:val="24"/>
          <w:szCs w:val="24"/>
        </w:rPr>
        <w:t>由于乙方单方面原因导致系统意外宕机并影响甲方使用的，每月时间不得超过45分钟，一年不得超过8小时。如果由于乙方单方面原因导致系统月度宕机时间超过45分钟，按月度核算不累计，每发生一次乙方须按合同总金额的1%向甲方支付违约金，待违约金支付完成，按合同要求验收合格后，甲方退还乙方提供的合同总价的10%预付款保函。</w:t>
      </w:r>
    </w:p>
    <w:p w14:paraId="75E90CB5">
      <w:pPr>
        <w:numPr>
          <w:ilvl w:val="0"/>
          <w:numId w:val="12"/>
        </w:numPr>
        <w:spacing w:line="480" w:lineRule="exact"/>
        <w:ind w:firstLine="480"/>
        <w:rPr>
          <w:rFonts w:ascii="宋体" w:hAnsi="宋体"/>
          <w:sz w:val="24"/>
        </w:rPr>
      </w:pPr>
      <w:r>
        <w:rPr>
          <w:rFonts w:hint="eastAsia" w:ascii="宋体" w:hAnsi="宋体"/>
          <w:sz w:val="24"/>
        </w:rPr>
        <w:t>乙方交付的工作内容经甲方验收不合格，应按照合同约定以及甲方的质量要求再次提交甲方验收，再次验收仍不合格的，甲方有权解除合同，同时乙方应向甲方支付合同价款的</w:t>
      </w:r>
      <w:r>
        <w:rPr>
          <w:rFonts w:ascii="宋体" w:hAnsi="宋体"/>
          <w:sz w:val="24"/>
        </w:rPr>
        <w:t>10%违约金。</w:t>
      </w:r>
    </w:p>
    <w:p w14:paraId="08997D75">
      <w:pPr>
        <w:numPr>
          <w:ilvl w:val="0"/>
          <w:numId w:val="12"/>
        </w:numPr>
        <w:spacing w:line="360" w:lineRule="auto"/>
        <w:ind w:firstLine="480" w:firstLineChars="200"/>
        <w:rPr>
          <w:rFonts w:ascii="宋体" w:hAnsi="宋体" w:cs="新宋体"/>
          <w:sz w:val="24"/>
          <w:szCs w:val="24"/>
        </w:rPr>
      </w:pPr>
      <w:r>
        <w:rPr>
          <w:rFonts w:hint="eastAsia" w:ascii="宋体" w:hAnsi="宋体" w:cs="新宋体"/>
          <w:sz w:val="24"/>
          <w:szCs w:val="24"/>
        </w:rPr>
        <w:t>乙方在采购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合同总额的10%），违约金不足以弥补甲方损失的，甲方有权要求向乙方追偿以弥补损失。</w:t>
      </w:r>
    </w:p>
    <w:p w14:paraId="036EB52B">
      <w:pPr>
        <w:numPr>
          <w:ilvl w:val="0"/>
          <w:numId w:val="12"/>
        </w:numPr>
        <w:spacing w:line="360" w:lineRule="auto"/>
        <w:ind w:firstLine="480" w:firstLineChars="200"/>
        <w:rPr>
          <w:rFonts w:ascii="宋体" w:hAnsi="宋体" w:cs="新宋体"/>
          <w:sz w:val="24"/>
          <w:szCs w:val="24"/>
        </w:rPr>
      </w:pPr>
      <w:r>
        <w:rPr>
          <w:rFonts w:hint="eastAsia" w:ascii="宋体" w:hAnsi="宋体" w:cs="新宋体"/>
          <w:sz w:val="24"/>
          <w:szCs w:val="24"/>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4928E6EC">
      <w:pPr>
        <w:numPr>
          <w:ilvl w:val="0"/>
          <w:numId w:val="12"/>
        </w:numPr>
        <w:spacing w:line="360" w:lineRule="auto"/>
        <w:ind w:firstLine="480" w:firstLineChars="200"/>
        <w:rPr>
          <w:rFonts w:ascii="宋体" w:hAnsi="宋体" w:cs="新宋体"/>
          <w:sz w:val="24"/>
          <w:szCs w:val="24"/>
        </w:rPr>
      </w:pPr>
      <w:r>
        <w:rPr>
          <w:rFonts w:hint="eastAsia" w:ascii="宋体" w:hAnsi="宋体" w:cs="新宋体"/>
          <w:sz w:val="24"/>
          <w:szCs w:val="24"/>
        </w:rPr>
        <w:t>甲方向乙方发出解除合同通知之日起3日内本合同解除。乙方应于本合同解除之日起3日自行退场，并于收到甲方赔偿通知之日起3日内向甲方支付违约金及各项损失赔偿金。</w:t>
      </w:r>
    </w:p>
    <w:p w14:paraId="412FBD55">
      <w:pPr>
        <w:spacing w:line="360" w:lineRule="auto"/>
        <w:ind w:firstLine="354" w:firstLineChars="147"/>
        <w:rPr>
          <w:rFonts w:ascii="宋体" w:hAnsi="宋体" w:cs="新宋体"/>
          <w:b/>
          <w:bCs/>
          <w:sz w:val="24"/>
          <w:szCs w:val="24"/>
        </w:rPr>
      </w:pPr>
      <w:r>
        <w:rPr>
          <w:rFonts w:hint="eastAsia" w:ascii="宋体" w:hAnsi="宋体" w:cs="新宋体"/>
          <w:b/>
          <w:bCs/>
          <w:sz w:val="24"/>
          <w:szCs w:val="24"/>
        </w:rPr>
        <w:t>第十条、争议及解决</w:t>
      </w:r>
    </w:p>
    <w:p w14:paraId="5F7F384C">
      <w:pPr>
        <w:spacing w:line="360" w:lineRule="auto"/>
        <w:ind w:firstLine="480" w:firstLineChars="200"/>
        <w:rPr>
          <w:rFonts w:ascii="宋体" w:hAnsi="宋体" w:cs="新宋体"/>
          <w:sz w:val="24"/>
          <w:szCs w:val="24"/>
        </w:rPr>
      </w:pPr>
      <w:r>
        <w:rPr>
          <w:rFonts w:hint="eastAsia" w:ascii="宋体" w:hAnsi="宋体" w:cs="新宋体"/>
          <w:sz w:val="24"/>
          <w:szCs w:val="24"/>
        </w:rPr>
        <w:t>在执行合同中所发生的一切争执，双方应在相互谅解和友好协商的基础上解决。如果不能协商解决，双方均有权向甲方所在地北京市海淀区人民法院提起诉讼。</w:t>
      </w:r>
    </w:p>
    <w:p w14:paraId="2E9FB452">
      <w:pPr>
        <w:spacing w:line="360" w:lineRule="auto"/>
        <w:ind w:firstLine="354" w:firstLineChars="147"/>
        <w:rPr>
          <w:rFonts w:ascii="宋体" w:hAnsi="宋体" w:cs="新宋体"/>
          <w:b/>
          <w:bCs/>
          <w:sz w:val="24"/>
          <w:szCs w:val="24"/>
        </w:rPr>
      </w:pPr>
      <w:r>
        <w:rPr>
          <w:rFonts w:hint="eastAsia" w:ascii="宋体" w:hAnsi="宋体" w:cs="新宋体"/>
          <w:b/>
          <w:bCs/>
          <w:sz w:val="24"/>
          <w:szCs w:val="24"/>
        </w:rPr>
        <w:t>第十一条、其他约定</w:t>
      </w:r>
    </w:p>
    <w:p w14:paraId="3FD5792B">
      <w:pPr>
        <w:pStyle w:val="62"/>
        <w:numPr>
          <w:ilvl w:val="3"/>
          <w:numId w:val="13"/>
        </w:numPr>
        <w:spacing w:line="360" w:lineRule="auto"/>
        <w:ind w:left="0" w:firstLine="480"/>
        <w:rPr>
          <w:rFonts w:ascii="宋体" w:hAnsi="宋体" w:cs="新宋体"/>
          <w:sz w:val="24"/>
        </w:rPr>
      </w:pPr>
      <w:r>
        <w:rPr>
          <w:rFonts w:hint="eastAsia" w:ascii="宋体" w:hAnsi="宋体" w:cs="新宋体"/>
          <w:sz w:val="24"/>
        </w:rPr>
        <w:t>本合同经甲、乙双方签字盖章立即生效。</w:t>
      </w:r>
    </w:p>
    <w:p w14:paraId="7B96361E">
      <w:pPr>
        <w:pStyle w:val="62"/>
        <w:numPr>
          <w:ilvl w:val="3"/>
          <w:numId w:val="13"/>
        </w:numPr>
        <w:spacing w:line="360" w:lineRule="auto"/>
        <w:ind w:left="0" w:firstLine="480"/>
        <w:rPr>
          <w:rFonts w:ascii="宋体" w:hAnsi="宋体" w:cs="新宋体"/>
          <w:sz w:val="24"/>
        </w:rPr>
      </w:pPr>
      <w:r>
        <w:rPr>
          <w:rFonts w:hint="eastAsia" w:ascii="宋体" w:hAnsi="宋体" w:cs="新宋体"/>
          <w:sz w:val="24"/>
        </w:rPr>
        <w:t>本合同的未尽事宜，由甲、乙双方协商后产生书面文件，作为本合同的补充，具有与本合同同等的法律效力。</w:t>
      </w:r>
    </w:p>
    <w:p w14:paraId="4CA71263">
      <w:pPr>
        <w:pStyle w:val="62"/>
        <w:numPr>
          <w:ilvl w:val="3"/>
          <w:numId w:val="13"/>
        </w:numPr>
        <w:spacing w:line="360" w:lineRule="auto"/>
        <w:ind w:left="0" w:firstLine="480"/>
        <w:rPr>
          <w:rFonts w:ascii="宋体" w:hAnsi="宋体" w:cs="新宋体"/>
          <w:sz w:val="24"/>
        </w:rPr>
      </w:pPr>
      <w:r>
        <w:rPr>
          <w:rFonts w:hint="eastAsia" w:ascii="宋体" w:hAnsi="宋体" w:cs="新宋体"/>
          <w:sz w:val="24"/>
        </w:rPr>
        <w:t>本合同一式肆份，甲方执贰份，乙方执贰份。</w:t>
      </w:r>
    </w:p>
    <w:p w14:paraId="4079329C">
      <w:pPr>
        <w:spacing w:line="360" w:lineRule="auto"/>
        <w:rPr>
          <w:rFonts w:ascii="宋体" w:hAnsi="宋体" w:cs="新宋体"/>
          <w:sz w:val="24"/>
          <w:szCs w:val="24"/>
        </w:rPr>
      </w:pPr>
    </w:p>
    <w:p w14:paraId="049771ED">
      <w:pPr>
        <w:spacing w:line="360" w:lineRule="auto"/>
        <w:rPr>
          <w:rFonts w:ascii="宋体" w:hAnsi="宋体" w:cs="新宋体"/>
          <w:sz w:val="24"/>
          <w:szCs w:val="24"/>
        </w:rPr>
      </w:pPr>
    </w:p>
    <w:p w14:paraId="40FA501D">
      <w:pPr>
        <w:spacing w:line="360" w:lineRule="auto"/>
        <w:rPr>
          <w:rFonts w:ascii="宋体" w:hAnsi="宋体" w:cs="新宋体"/>
          <w:sz w:val="24"/>
          <w:szCs w:val="24"/>
        </w:rPr>
      </w:pPr>
      <w:r>
        <w:rPr>
          <w:rFonts w:hint="eastAsia" w:ascii="宋体" w:hAnsi="宋体" w:cs="新宋体"/>
          <w:sz w:val="24"/>
          <w:szCs w:val="24"/>
        </w:rPr>
        <w:t>甲方：北京大学第六医院             乙方：</w:t>
      </w:r>
    </w:p>
    <w:p w14:paraId="5DE03928">
      <w:pPr>
        <w:spacing w:line="360" w:lineRule="auto"/>
        <w:rPr>
          <w:rFonts w:ascii="宋体" w:hAnsi="宋体" w:cs="新宋体"/>
          <w:sz w:val="24"/>
          <w:szCs w:val="24"/>
        </w:rPr>
      </w:pPr>
      <w:r>
        <w:rPr>
          <w:rFonts w:hint="eastAsia" w:ascii="宋体" w:hAnsi="宋体" w:cs="新宋体"/>
          <w:sz w:val="24"/>
          <w:szCs w:val="24"/>
        </w:rPr>
        <w:t>法定代表人(或委托代理人)签字：     法定代表人(或委托代理人)签字：</w:t>
      </w:r>
    </w:p>
    <w:p w14:paraId="7DFD9E73">
      <w:pPr>
        <w:spacing w:line="360" w:lineRule="auto"/>
        <w:jc w:val="left"/>
        <w:rPr>
          <w:rFonts w:ascii="宋体" w:hAnsi="宋体"/>
          <w:b/>
          <w:sz w:val="36"/>
        </w:rPr>
      </w:pPr>
      <w:r>
        <w:rPr>
          <w:rFonts w:hint="eastAsia" w:ascii="宋体" w:hAnsi="宋体" w:cs="新宋体"/>
          <w:sz w:val="24"/>
          <w:szCs w:val="24"/>
        </w:rPr>
        <w:t>日期：                               日期：</w:t>
      </w:r>
    </w:p>
    <w:p w14:paraId="05B4A9B3">
      <w:pPr>
        <w:spacing w:before="240" w:line="400" w:lineRule="atLeast"/>
        <w:jc w:val="center"/>
        <w:rPr>
          <w:rFonts w:ascii="宋体" w:hAnsi="宋体"/>
          <w:b/>
          <w:sz w:val="36"/>
        </w:rPr>
      </w:pPr>
    </w:p>
    <w:p w14:paraId="7EDEFEAE">
      <w:pPr>
        <w:spacing w:before="240" w:line="400" w:lineRule="atLeast"/>
        <w:jc w:val="center"/>
        <w:rPr>
          <w:rFonts w:ascii="宋体" w:hAnsi="宋体"/>
          <w:b/>
          <w:sz w:val="36"/>
        </w:rPr>
      </w:pPr>
    </w:p>
    <w:p w14:paraId="4BDD646D">
      <w:pPr>
        <w:spacing w:before="240" w:line="400" w:lineRule="atLeast"/>
        <w:jc w:val="center"/>
        <w:rPr>
          <w:rFonts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07629653">
      <w:pPr>
        <w:spacing w:line="360" w:lineRule="auto"/>
        <w:rPr>
          <w:rFonts w:ascii="宋体"/>
          <w:sz w:val="24"/>
        </w:rPr>
      </w:pPr>
      <w:r>
        <w:rPr>
          <w:rFonts w:ascii="宋体"/>
          <w:sz w:val="24"/>
        </w:rPr>
        <w:t xml:space="preserve">  </w:t>
      </w:r>
    </w:p>
    <w:p w14:paraId="6C2D90C4">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2B17AC43">
      <w:pPr>
        <w:spacing w:line="400" w:lineRule="atLeast"/>
        <w:jc w:val="left"/>
        <w:rPr>
          <w:rFonts w:eastAsia="黑体"/>
          <w:sz w:val="30"/>
        </w:rPr>
      </w:pPr>
    </w:p>
    <w:p w14:paraId="46383FF6">
      <w:pPr>
        <w:spacing w:before="120"/>
        <w:jc w:val="center"/>
        <w:rPr>
          <w:rFonts w:eastAsia="黑体"/>
          <w:sz w:val="30"/>
        </w:rPr>
      </w:pPr>
    </w:p>
    <w:p w14:paraId="76FA8DFD">
      <w:pPr>
        <w:spacing w:before="120"/>
        <w:jc w:val="center"/>
        <w:rPr>
          <w:rFonts w:eastAsia="黑体"/>
          <w:sz w:val="30"/>
        </w:rPr>
      </w:pPr>
      <w:r>
        <w:rPr>
          <w:rFonts w:hint="eastAsia" w:eastAsia="黑体"/>
          <w:sz w:val="30"/>
        </w:rPr>
        <w:t xml:space="preserve">   目  录</w:t>
      </w:r>
    </w:p>
    <w:p w14:paraId="05262A03">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23</w:t>
      </w:r>
    </w:p>
    <w:p w14:paraId="24265563">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24</w:t>
      </w:r>
    </w:p>
    <w:p w14:paraId="6DA67574">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25</w:t>
      </w:r>
    </w:p>
    <w:p w14:paraId="25F4CFB7">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26</w:t>
      </w:r>
    </w:p>
    <w:p w14:paraId="3BD15A99">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27</w:t>
      </w:r>
    </w:p>
    <w:p w14:paraId="698D857B">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28</w:t>
      </w:r>
    </w:p>
    <w:p w14:paraId="7546C115">
      <w:pPr>
        <w:pStyle w:val="45"/>
        <w:ind w:firstLine="480"/>
        <w:rPr>
          <w:rFonts w:hint="default"/>
          <w:sz w:val="24"/>
        </w:rPr>
      </w:pPr>
    </w:p>
    <w:p w14:paraId="366A3712">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29</w:t>
      </w:r>
    </w:p>
    <w:p w14:paraId="23CF6B82">
      <w:pPr>
        <w:pStyle w:val="45"/>
        <w:ind w:firstLine="480"/>
        <w:rPr>
          <w:rFonts w:hint="default"/>
          <w:sz w:val="24"/>
        </w:rPr>
      </w:pPr>
    </w:p>
    <w:p w14:paraId="675C1604">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30</w:t>
      </w:r>
    </w:p>
    <w:p w14:paraId="52C595B5">
      <w:pPr>
        <w:pStyle w:val="45"/>
        <w:ind w:firstLine="480"/>
        <w:rPr>
          <w:rFonts w:hint="default"/>
          <w:sz w:val="24"/>
        </w:rPr>
      </w:pPr>
    </w:p>
    <w:p w14:paraId="010D1D12">
      <w:pPr>
        <w:rPr>
          <w:rFonts w:ascii="宋体"/>
          <w:sz w:val="24"/>
        </w:rPr>
      </w:pPr>
      <w:r>
        <w:rPr>
          <w:rFonts w:hint="eastAsia" w:ascii="宋体"/>
          <w:sz w:val="24"/>
        </w:rPr>
        <w:t xml:space="preserve"> 附件九       条款应答表</w:t>
      </w:r>
      <w:r>
        <w:rPr>
          <w:rFonts w:ascii="宋体"/>
          <w:sz w:val="24"/>
        </w:rPr>
        <w:t>………………………………………………</w:t>
      </w:r>
      <w:r>
        <w:rPr>
          <w:rFonts w:hint="eastAsia" w:ascii="宋体"/>
          <w:sz w:val="24"/>
        </w:rPr>
        <w:t xml:space="preserve">    </w:t>
      </w:r>
      <w:r>
        <w:rPr>
          <w:rFonts w:ascii="宋体"/>
          <w:sz w:val="24"/>
        </w:rPr>
        <w:t>……………</w:t>
      </w:r>
      <w:r>
        <w:rPr>
          <w:rFonts w:hint="eastAsia" w:ascii="宋体"/>
          <w:sz w:val="24"/>
        </w:rPr>
        <w:t xml:space="preserve"> 31</w:t>
      </w:r>
    </w:p>
    <w:p w14:paraId="6F20E69F">
      <w:pPr>
        <w:pStyle w:val="45"/>
        <w:ind w:firstLine="480"/>
        <w:rPr>
          <w:rFonts w:hint="default"/>
          <w:sz w:val="24"/>
        </w:rPr>
      </w:pPr>
    </w:p>
    <w:p w14:paraId="5C3C4C9C">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39</w:t>
      </w:r>
    </w:p>
    <w:p w14:paraId="1053E2CD">
      <w:pPr>
        <w:pStyle w:val="45"/>
        <w:ind w:firstLine="480"/>
        <w:rPr>
          <w:rFonts w:hint="default"/>
          <w:sz w:val="24"/>
        </w:rPr>
      </w:pPr>
    </w:p>
    <w:p w14:paraId="7D309C0D">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40</w:t>
      </w:r>
    </w:p>
    <w:p w14:paraId="4CDF86CC">
      <w:pPr>
        <w:pStyle w:val="45"/>
        <w:ind w:firstLine="0" w:firstLineChars="0"/>
        <w:rPr>
          <w:rFonts w:hint="default"/>
          <w:sz w:val="24"/>
        </w:rPr>
      </w:pPr>
    </w:p>
    <w:p w14:paraId="3643257D">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41</w:t>
      </w:r>
    </w:p>
    <w:p w14:paraId="4901FD08">
      <w:pPr>
        <w:widowControl/>
        <w:adjustRightInd/>
        <w:spacing w:line="240" w:lineRule="auto"/>
        <w:jc w:val="left"/>
        <w:textAlignment w:val="auto"/>
        <w:rPr>
          <w:rFonts w:ascii="宋体"/>
          <w:sz w:val="24"/>
        </w:rPr>
      </w:pPr>
      <w:r>
        <w:rPr>
          <w:rFonts w:ascii="宋体"/>
          <w:sz w:val="24"/>
        </w:rPr>
        <w:br w:type="page"/>
      </w:r>
    </w:p>
    <w:p w14:paraId="6C5506D4">
      <w:pPr>
        <w:spacing w:line="420" w:lineRule="exact"/>
        <w:jc w:val="left"/>
        <w:rPr>
          <w:rFonts w:ascii="宋体" w:hAnsi="宋体" w:cs="宋体"/>
          <w:sz w:val="24"/>
          <w:szCs w:val="24"/>
        </w:rPr>
      </w:pPr>
      <w:r>
        <w:rPr>
          <w:rFonts w:hint="eastAsia" w:ascii="宋体" w:hAnsi="宋体" w:cs="宋体"/>
          <w:sz w:val="24"/>
          <w:szCs w:val="24"/>
        </w:rPr>
        <w:t>附件一</w:t>
      </w:r>
    </w:p>
    <w:p w14:paraId="14F3D493">
      <w:pPr>
        <w:spacing w:line="360" w:lineRule="atLeast"/>
        <w:ind w:left="421" w:leftChars="200" w:hanging="1"/>
        <w:jc w:val="center"/>
        <w:outlineLvl w:val="1"/>
        <w:rPr>
          <w:sz w:val="24"/>
        </w:rPr>
      </w:pPr>
      <w:r>
        <w:rPr>
          <w:rFonts w:hint="eastAsia" w:ascii="宋体"/>
          <w:b/>
          <w:sz w:val="28"/>
        </w:rPr>
        <w:t>法定代表人授权书</w:t>
      </w:r>
    </w:p>
    <w:p w14:paraId="692ED20F">
      <w:pPr>
        <w:spacing w:line="360" w:lineRule="auto"/>
        <w:ind w:left="421" w:leftChars="200" w:hanging="1"/>
        <w:rPr>
          <w:sz w:val="24"/>
          <w:u w:val="single"/>
        </w:rPr>
      </w:pPr>
    </w:p>
    <w:p w14:paraId="443D6E4E">
      <w:pPr>
        <w:spacing w:line="360" w:lineRule="auto"/>
        <w:ind w:left="421" w:leftChars="200" w:hanging="1"/>
        <w:rPr>
          <w:sz w:val="24"/>
          <w:u w:val="single"/>
        </w:rPr>
      </w:pPr>
    </w:p>
    <w:p w14:paraId="03BD6C8C">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14F9F1E8">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53C209DA">
      <w:pPr>
        <w:spacing w:line="360" w:lineRule="auto"/>
        <w:ind w:left="421" w:leftChars="200" w:hanging="1"/>
        <w:rPr>
          <w:sz w:val="24"/>
        </w:rPr>
      </w:pPr>
    </w:p>
    <w:p w14:paraId="5600CF5A">
      <w:pPr>
        <w:spacing w:line="360" w:lineRule="auto"/>
        <w:ind w:left="421" w:leftChars="200" w:hanging="1"/>
        <w:rPr>
          <w:sz w:val="24"/>
        </w:rPr>
      </w:pPr>
      <w:r>
        <w:rPr>
          <w:rFonts w:hint="eastAsia"/>
          <w:sz w:val="24"/>
        </w:rPr>
        <w:t>法定代表人签字或签（印）章：</w:t>
      </w:r>
    </w:p>
    <w:p w14:paraId="781FA3C2">
      <w:pPr>
        <w:spacing w:line="360" w:lineRule="auto"/>
        <w:ind w:left="421" w:leftChars="200" w:hanging="1"/>
        <w:rPr>
          <w:sz w:val="24"/>
        </w:rPr>
      </w:pPr>
    </w:p>
    <w:p w14:paraId="70DA312D">
      <w:pPr>
        <w:spacing w:line="360" w:lineRule="auto"/>
        <w:ind w:left="421" w:leftChars="200" w:hanging="1"/>
        <w:rPr>
          <w:sz w:val="24"/>
        </w:rPr>
      </w:pPr>
      <w:r>
        <w:rPr>
          <w:rFonts w:hint="eastAsia"/>
          <w:sz w:val="24"/>
        </w:rPr>
        <w:t>授权代表签字：</w:t>
      </w:r>
    </w:p>
    <w:p w14:paraId="7D9D742B">
      <w:pPr>
        <w:spacing w:line="360" w:lineRule="auto"/>
        <w:ind w:left="420" w:leftChars="200"/>
        <w:rPr>
          <w:sz w:val="24"/>
        </w:rPr>
      </w:pPr>
    </w:p>
    <w:p w14:paraId="1C7E9A52">
      <w:pPr>
        <w:spacing w:line="360" w:lineRule="auto"/>
        <w:ind w:left="420" w:leftChars="200"/>
        <w:rPr>
          <w:sz w:val="24"/>
        </w:rPr>
      </w:pPr>
      <w:r>
        <w:rPr>
          <w:rFonts w:hint="eastAsia"/>
          <w:sz w:val="24"/>
        </w:rPr>
        <w:t>响应人全称（公章）：</w:t>
      </w:r>
    </w:p>
    <w:p w14:paraId="3FF309A4">
      <w:pPr>
        <w:spacing w:line="360" w:lineRule="auto"/>
        <w:ind w:left="420" w:leftChars="200"/>
        <w:rPr>
          <w:sz w:val="24"/>
        </w:rPr>
      </w:pPr>
    </w:p>
    <w:p w14:paraId="69C5A7DA">
      <w:pPr>
        <w:spacing w:line="360" w:lineRule="auto"/>
        <w:ind w:left="420" w:leftChars="200"/>
        <w:rPr>
          <w:sz w:val="24"/>
        </w:rPr>
      </w:pPr>
      <w:r>
        <w:rPr>
          <w:rFonts w:hint="eastAsia"/>
          <w:sz w:val="24"/>
        </w:rPr>
        <w:t>日　期：</w:t>
      </w:r>
    </w:p>
    <w:p w14:paraId="5EC536C7">
      <w:pPr>
        <w:spacing w:line="360" w:lineRule="auto"/>
        <w:ind w:left="421" w:leftChars="200" w:hanging="1"/>
        <w:rPr>
          <w:sz w:val="24"/>
        </w:rPr>
      </w:pPr>
      <w:r>
        <w:rPr>
          <w:sz w:val="24"/>
        </w:rPr>
        <w:t xml:space="preserve">     </w:t>
      </w:r>
    </w:p>
    <w:p w14:paraId="4ED34F4D">
      <w:pPr>
        <w:spacing w:line="360" w:lineRule="auto"/>
        <w:ind w:left="421" w:leftChars="200" w:hanging="1"/>
        <w:rPr>
          <w:sz w:val="24"/>
        </w:rPr>
      </w:pPr>
    </w:p>
    <w:p w14:paraId="1B96231A">
      <w:pPr>
        <w:spacing w:line="360" w:lineRule="auto"/>
        <w:ind w:left="421" w:leftChars="200" w:hanging="1"/>
        <w:rPr>
          <w:sz w:val="24"/>
        </w:rPr>
      </w:pPr>
    </w:p>
    <w:p w14:paraId="69CD6606">
      <w:pPr>
        <w:spacing w:line="360" w:lineRule="auto"/>
        <w:ind w:left="421" w:leftChars="200" w:hanging="1"/>
        <w:rPr>
          <w:sz w:val="24"/>
        </w:rPr>
      </w:pPr>
    </w:p>
    <w:p w14:paraId="07CFDC42">
      <w:pPr>
        <w:spacing w:line="360" w:lineRule="auto"/>
        <w:ind w:left="421" w:leftChars="200" w:hanging="1"/>
        <w:rPr>
          <w:sz w:val="24"/>
        </w:rPr>
      </w:pPr>
    </w:p>
    <w:p w14:paraId="4C418EEA">
      <w:pPr>
        <w:spacing w:line="360" w:lineRule="auto"/>
        <w:ind w:left="421" w:leftChars="200" w:hanging="1"/>
        <w:rPr>
          <w:sz w:val="24"/>
        </w:rPr>
      </w:pPr>
    </w:p>
    <w:p w14:paraId="0A149707">
      <w:pPr>
        <w:spacing w:line="360" w:lineRule="auto"/>
        <w:rPr>
          <w:sz w:val="24"/>
        </w:rPr>
      </w:pPr>
    </w:p>
    <w:p w14:paraId="52F2B039">
      <w:pPr>
        <w:spacing w:line="360" w:lineRule="auto"/>
        <w:ind w:left="421" w:leftChars="200" w:hanging="1"/>
        <w:rPr>
          <w:sz w:val="24"/>
          <w:highlight w:val="yellow"/>
        </w:rPr>
      </w:pPr>
    </w:p>
    <w:p w14:paraId="435F5BE4">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3C5503DC">
      <w:pPr>
        <w:spacing w:line="360" w:lineRule="auto"/>
        <w:ind w:firstLine="2700" w:firstLineChars="900"/>
        <w:jc w:val="left"/>
        <w:rPr>
          <w:rFonts w:eastAsia="黑体"/>
          <w:sz w:val="30"/>
        </w:rPr>
      </w:pPr>
    </w:p>
    <w:p w14:paraId="2481D415">
      <w:pPr>
        <w:spacing w:line="360" w:lineRule="auto"/>
        <w:jc w:val="left"/>
        <w:rPr>
          <w:rFonts w:eastAsia="黑体"/>
          <w:sz w:val="30"/>
        </w:rPr>
      </w:pPr>
    </w:p>
    <w:p w14:paraId="23B1F635">
      <w:pPr>
        <w:spacing w:before="240" w:line="360" w:lineRule="auto"/>
        <w:rPr>
          <w:rFonts w:eastAsia="黑体"/>
          <w:sz w:val="30"/>
        </w:rPr>
      </w:pPr>
      <w:r>
        <w:rPr>
          <w:rFonts w:hint="eastAsia" w:ascii="宋体" w:hAnsi="宋体" w:cs="宋体"/>
          <w:sz w:val="24"/>
          <w:szCs w:val="24"/>
        </w:rPr>
        <w:t>附件二</w:t>
      </w:r>
      <w:r>
        <w:rPr>
          <w:rFonts w:hint="eastAsia" w:eastAsia="黑体"/>
          <w:sz w:val="30"/>
        </w:rPr>
        <w:t xml:space="preserve">           </w:t>
      </w:r>
    </w:p>
    <w:p w14:paraId="7D3F1B27">
      <w:pPr>
        <w:spacing w:before="240" w:line="360" w:lineRule="auto"/>
        <w:jc w:val="center"/>
        <w:rPr>
          <w:rFonts w:ascii="宋体"/>
          <w:b/>
          <w:sz w:val="24"/>
          <w:szCs w:val="24"/>
        </w:rPr>
      </w:pPr>
      <w:r>
        <w:rPr>
          <w:rFonts w:hint="eastAsia" w:ascii="宋体"/>
          <w:b/>
          <w:sz w:val="24"/>
          <w:szCs w:val="24"/>
        </w:rPr>
        <w:t>中小企业声明函</w:t>
      </w:r>
    </w:p>
    <w:p w14:paraId="7901A771">
      <w:pPr>
        <w:spacing w:line="360" w:lineRule="auto"/>
        <w:ind w:left="1080" w:leftChars="257" w:hanging="540"/>
        <w:jc w:val="center"/>
        <w:rPr>
          <w:rFonts w:ascii="仿宋_GB2312" w:hAnsi="Arial" w:eastAsia="仿宋_GB2312"/>
          <w:b/>
          <w:sz w:val="24"/>
        </w:rPr>
      </w:pPr>
    </w:p>
    <w:p w14:paraId="4F81990E">
      <w:pPr>
        <w:spacing w:line="360" w:lineRule="auto"/>
        <w:rPr>
          <w:rFonts w:cs="宋体"/>
          <w:b/>
          <w:bCs/>
          <w:sz w:val="24"/>
          <w:szCs w:val="24"/>
        </w:rPr>
      </w:pPr>
    </w:p>
    <w:p w14:paraId="39D9836E">
      <w:pPr>
        <w:tabs>
          <w:tab w:val="left" w:pos="7230"/>
          <w:tab w:val="left" w:pos="7513"/>
        </w:tabs>
        <w:spacing w:line="360" w:lineRule="auto"/>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6893E887">
      <w:pPr>
        <w:tabs>
          <w:tab w:val="left" w:pos="7513"/>
        </w:tabs>
        <w:spacing w:line="360" w:lineRule="auto"/>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0D4C6D85">
      <w:pPr>
        <w:tabs>
          <w:tab w:val="left" w:pos="7513"/>
        </w:tabs>
        <w:spacing w:line="360" w:lineRule="auto"/>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48123F10">
      <w:pPr>
        <w:tabs>
          <w:tab w:val="left" w:pos="7513"/>
        </w:tabs>
        <w:spacing w:line="360" w:lineRule="auto"/>
        <w:ind w:firstLine="480" w:firstLineChars="200"/>
        <w:rPr>
          <w:rFonts w:cs="宋体"/>
          <w:sz w:val="24"/>
          <w:szCs w:val="24"/>
        </w:rPr>
      </w:pPr>
      <w:r>
        <w:rPr>
          <w:rFonts w:hint="eastAsia" w:cs="宋体"/>
          <w:sz w:val="24"/>
          <w:szCs w:val="24"/>
        </w:rPr>
        <w:t>本企业对上述声明内容的真实性负责。如有虚假，将依法承担相应责任。</w:t>
      </w:r>
    </w:p>
    <w:p w14:paraId="7F0A280B">
      <w:pPr>
        <w:tabs>
          <w:tab w:val="left" w:pos="7513"/>
        </w:tabs>
        <w:spacing w:line="360" w:lineRule="auto"/>
        <w:ind w:firstLine="4320" w:firstLineChars="1800"/>
        <w:rPr>
          <w:rFonts w:cs="宋体"/>
          <w:sz w:val="24"/>
          <w:szCs w:val="24"/>
        </w:rPr>
      </w:pPr>
    </w:p>
    <w:p w14:paraId="43AF2907">
      <w:pPr>
        <w:tabs>
          <w:tab w:val="left" w:pos="7513"/>
        </w:tabs>
        <w:spacing w:line="360" w:lineRule="auto"/>
        <w:ind w:firstLine="4800" w:firstLineChars="2000"/>
        <w:rPr>
          <w:rFonts w:cs="宋体"/>
          <w:sz w:val="24"/>
          <w:szCs w:val="24"/>
        </w:rPr>
      </w:pPr>
      <w:r>
        <w:rPr>
          <w:rFonts w:hint="eastAsia" w:cs="宋体"/>
          <w:sz w:val="24"/>
          <w:szCs w:val="24"/>
        </w:rPr>
        <w:t>企业名称（盖章）：</w:t>
      </w:r>
    </w:p>
    <w:p w14:paraId="31C5D546">
      <w:pPr>
        <w:tabs>
          <w:tab w:val="left" w:pos="7513"/>
        </w:tabs>
        <w:spacing w:line="360" w:lineRule="auto"/>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0D93AF35">
      <w:pPr>
        <w:spacing w:line="360" w:lineRule="auto"/>
        <w:jc w:val="left"/>
        <w:rPr>
          <w:sz w:val="24"/>
          <w:szCs w:val="24"/>
        </w:rPr>
      </w:pPr>
      <w:r>
        <w:rPr>
          <w:rFonts w:eastAsia="黑体"/>
          <w:sz w:val="30"/>
        </w:rPr>
        <w:br w:type="page"/>
      </w:r>
      <w:r>
        <w:rPr>
          <w:rFonts w:hint="eastAsia"/>
          <w:sz w:val="24"/>
          <w:szCs w:val="24"/>
        </w:rPr>
        <w:t>附件三</w:t>
      </w:r>
      <w:r>
        <w:rPr>
          <w:sz w:val="24"/>
          <w:szCs w:val="24"/>
        </w:rPr>
        <w:t xml:space="preserve">                   </w:t>
      </w:r>
    </w:p>
    <w:p w14:paraId="75B53062">
      <w:pPr>
        <w:spacing w:line="360" w:lineRule="auto"/>
        <w:jc w:val="center"/>
        <w:rPr>
          <w:b/>
          <w:sz w:val="24"/>
          <w:szCs w:val="24"/>
        </w:rPr>
      </w:pPr>
      <w:r>
        <w:rPr>
          <w:rFonts w:hint="eastAsia"/>
          <w:b/>
          <w:sz w:val="24"/>
          <w:szCs w:val="24"/>
        </w:rPr>
        <w:t>报价函</w:t>
      </w:r>
    </w:p>
    <w:p w14:paraId="430E1F48">
      <w:pPr>
        <w:spacing w:line="360" w:lineRule="auto"/>
        <w:jc w:val="left"/>
        <w:rPr>
          <w:b/>
          <w:sz w:val="30"/>
        </w:rPr>
      </w:pPr>
    </w:p>
    <w:p w14:paraId="0FD2D46B">
      <w:pPr>
        <w:spacing w:line="360" w:lineRule="auto"/>
      </w:pPr>
      <w:r>
        <w:t xml:space="preserve">     </w:t>
      </w:r>
    </w:p>
    <w:p w14:paraId="262BB662">
      <w:pPr>
        <w:spacing w:line="360" w:lineRule="auto"/>
        <w:rPr>
          <w:sz w:val="24"/>
          <w:u w:val="single"/>
        </w:rPr>
      </w:pPr>
      <w:r>
        <w:rPr>
          <w:rFonts w:hint="eastAsia"/>
          <w:sz w:val="24"/>
          <w:u w:val="single"/>
        </w:rPr>
        <w:t>北京大学第六医院：</w:t>
      </w:r>
    </w:p>
    <w:p w14:paraId="76009934">
      <w:pPr>
        <w:spacing w:line="360" w:lineRule="auto"/>
        <w:rPr>
          <w:sz w:val="24"/>
        </w:rPr>
      </w:pPr>
      <w:r>
        <w:rPr>
          <w:sz w:val="24"/>
        </w:rPr>
        <w:t xml:space="preserve">     </w:t>
      </w:r>
    </w:p>
    <w:p w14:paraId="1002444C">
      <w:pPr>
        <w:spacing w:line="360" w:lineRule="auto"/>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4202DA5F">
      <w:pPr>
        <w:spacing w:line="360" w:lineRule="auto"/>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02804249">
      <w:pPr>
        <w:spacing w:line="360" w:lineRule="auto"/>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0D7BA0D9">
      <w:pPr>
        <w:spacing w:line="360" w:lineRule="auto"/>
        <w:rPr>
          <w:sz w:val="24"/>
        </w:rPr>
      </w:pPr>
      <w:r>
        <w:rPr>
          <w:sz w:val="24"/>
        </w:rPr>
        <w:t xml:space="preserve">    </w:t>
      </w:r>
      <w:r>
        <w:rPr>
          <w:rFonts w:hint="eastAsia"/>
          <w:sz w:val="24"/>
        </w:rPr>
        <w:t>3、保证忠实地执行买卖双方所签经济合同，并承担合同规定的责任义务。</w:t>
      </w:r>
    </w:p>
    <w:p w14:paraId="5AD64C65">
      <w:pPr>
        <w:spacing w:line="360" w:lineRule="auto"/>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6A3DABEF">
      <w:pPr>
        <w:spacing w:line="360" w:lineRule="auto"/>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5AF9E995">
      <w:pPr>
        <w:spacing w:line="360" w:lineRule="auto"/>
        <w:ind w:left="839" w:leftChars="228" w:hanging="360" w:hangingChars="150"/>
        <w:rPr>
          <w:rFonts w:ascii="宋体"/>
          <w:sz w:val="24"/>
        </w:rPr>
      </w:pPr>
      <w:r>
        <w:rPr>
          <w:rFonts w:hint="eastAsia"/>
          <w:sz w:val="24"/>
        </w:rPr>
        <w:t>7、保证遵守论证要求中的有关规定。</w:t>
      </w:r>
    </w:p>
    <w:p w14:paraId="4082D956">
      <w:pPr>
        <w:spacing w:line="360" w:lineRule="auto"/>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76D89AC5">
      <w:pPr>
        <w:spacing w:line="360" w:lineRule="auto"/>
        <w:rPr>
          <w:sz w:val="24"/>
        </w:rPr>
      </w:pPr>
      <w:r>
        <w:rPr>
          <w:sz w:val="24"/>
        </w:rPr>
        <w:t xml:space="preserve">    </w:t>
      </w:r>
      <w:r>
        <w:rPr>
          <w:rFonts w:hint="eastAsia"/>
          <w:sz w:val="24"/>
        </w:rPr>
        <w:t>9、与本采购论证有关的一切往来通讯请寄：</w:t>
      </w:r>
    </w:p>
    <w:p w14:paraId="6EB6724C">
      <w:pPr>
        <w:spacing w:line="360" w:lineRule="auto"/>
        <w:rPr>
          <w:sz w:val="24"/>
        </w:rPr>
      </w:pPr>
      <w:r>
        <w:rPr>
          <w:rFonts w:hint="eastAsia"/>
          <w:sz w:val="24"/>
        </w:rPr>
        <w:t xml:space="preserve">    </w:t>
      </w:r>
    </w:p>
    <w:p w14:paraId="684BBBD4">
      <w:pPr>
        <w:spacing w:line="360" w:lineRule="auto"/>
        <w:rPr>
          <w:sz w:val="24"/>
        </w:rPr>
      </w:pPr>
      <w:r>
        <w:rPr>
          <w:sz w:val="24"/>
        </w:rPr>
        <w:t xml:space="preserve">    </w:t>
      </w:r>
      <w:r>
        <w:rPr>
          <w:rFonts w:hint="eastAsia"/>
          <w:sz w:val="24"/>
        </w:rPr>
        <w:t>地址：</w:t>
      </w:r>
      <w:r>
        <w:rPr>
          <w:sz w:val="24"/>
        </w:rPr>
        <w:t>____________________________________________________</w:t>
      </w:r>
    </w:p>
    <w:p w14:paraId="3C719559">
      <w:pPr>
        <w:spacing w:line="360" w:lineRule="auto"/>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6C7B4F4C">
      <w:pPr>
        <w:spacing w:line="360" w:lineRule="auto"/>
        <w:rPr>
          <w:sz w:val="24"/>
          <w:u w:val="single"/>
        </w:rPr>
      </w:pPr>
      <w:r>
        <w:rPr>
          <w:sz w:val="24"/>
        </w:rPr>
        <w:t xml:space="preserve">    </w:t>
      </w:r>
      <w:r>
        <w:rPr>
          <w:rFonts w:hint="eastAsia"/>
          <w:sz w:val="24"/>
        </w:rPr>
        <w:t>电子信箱地址：</w:t>
      </w:r>
      <w:r>
        <w:rPr>
          <w:rFonts w:hint="eastAsia"/>
          <w:sz w:val="24"/>
          <w:u w:val="single"/>
        </w:rPr>
        <w:t xml:space="preserve">                                            </w:t>
      </w:r>
    </w:p>
    <w:p w14:paraId="519DF9E3">
      <w:pPr>
        <w:spacing w:line="360" w:lineRule="auto"/>
        <w:rPr>
          <w:sz w:val="24"/>
        </w:rPr>
      </w:pPr>
      <w:r>
        <w:rPr>
          <w:sz w:val="24"/>
        </w:rPr>
        <w:t xml:space="preserve">         </w:t>
      </w:r>
    </w:p>
    <w:p w14:paraId="34886D3B">
      <w:pPr>
        <w:spacing w:line="360" w:lineRule="auto"/>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0D33C42">
      <w:pPr>
        <w:spacing w:line="360" w:lineRule="auto"/>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72BBA948">
      <w:pPr>
        <w:spacing w:line="360" w:lineRule="auto"/>
        <w:jc w:val="left"/>
        <w:rPr>
          <w:sz w:val="24"/>
        </w:rPr>
      </w:pPr>
      <w:r>
        <w:rPr>
          <w:sz w:val="24"/>
        </w:rPr>
        <w:t xml:space="preserve">                                 </w:t>
      </w:r>
      <w:r>
        <w:rPr>
          <w:rFonts w:hint="eastAsia"/>
          <w:sz w:val="24"/>
        </w:rPr>
        <w:t>日　期：</w:t>
      </w:r>
    </w:p>
    <w:p w14:paraId="245A325C">
      <w:pPr>
        <w:spacing w:line="360" w:lineRule="auto"/>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334AA8FF">
      <w:pPr>
        <w:spacing w:line="360" w:lineRule="auto"/>
        <w:jc w:val="center"/>
        <w:rPr>
          <w:b/>
          <w:szCs w:val="21"/>
        </w:rPr>
      </w:pPr>
    </w:p>
    <w:p w14:paraId="5242139B">
      <w:pPr>
        <w:spacing w:line="360" w:lineRule="auto"/>
      </w:pPr>
      <w:r>
        <w:t xml:space="preserve">     </w:t>
      </w:r>
    </w:p>
    <w:p w14:paraId="4BF6FA66">
      <w:pPr>
        <w:spacing w:line="360" w:lineRule="auto"/>
        <w:rPr>
          <w:sz w:val="24"/>
        </w:rPr>
      </w:pPr>
    </w:p>
    <w:p w14:paraId="5CF0F3C5">
      <w:pPr>
        <w:spacing w:line="360" w:lineRule="auto"/>
        <w:rPr>
          <w:sz w:val="24"/>
        </w:rPr>
      </w:pPr>
      <w:r>
        <w:rPr>
          <w:rFonts w:hint="eastAsia"/>
          <w:sz w:val="24"/>
        </w:rPr>
        <w:t xml:space="preserve">项目名称： </w:t>
      </w:r>
      <w:r>
        <w:rPr>
          <w:rFonts w:hint="eastAsia"/>
          <w:sz w:val="24"/>
          <w:u w:val="single"/>
        </w:rPr>
        <w:t xml:space="preserve">                                     </w:t>
      </w:r>
    </w:p>
    <w:p w14:paraId="22C4A8CE">
      <w:pPr>
        <w:spacing w:line="360" w:lineRule="auto"/>
        <w:rPr>
          <w:sz w:val="24"/>
        </w:rPr>
      </w:pPr>
    </w:p>
    <w:p w14:paraId="6D8CB150">
      <w:pPr>
        <w:spacing w:line="360" w:lineRule="auto"/>
        <w:rPr>
          <w:sz w:val="24"/>
          <w:u w:val="single"/>
        </w:rPr>
      </w:pPr>
      <w:r>
        <w:rPr>
          <w:rFonts w:hint="eastAsia"/>
          <w:sz w:val="24"/>
        </w:rPr>
        <w:t>响应人名称：</w:t>
      </w:r>
      <w:r>
        <w:rPr>
          <w:rFonts w:hint="eastAsia"/>
          <w:sz w:val="24"/>
          <w:u w:val="single"/>
        </w:rPr>
        <w:t xml:space="preserve">                                     </w:t>
      </w:r>
    </w:p>
    <w:p w14:paraId="497B3908">
      <w:pPr>
        <w:tabs>
          <w:tab w:val="left" w:pos="825"/>
        </w:tabs>
        <w:spacing w:after="120" w:line="360" w:lineRule="auto"/>
        <w:jc w:val="left"/>
        <w:rPr>
          <w:sz w:val="24"/>
        </w:rPr>
      </w:pPr>
      <w:r>
        <w:rPr>
          <w:rFonts w:hint="eastAsia"/>
          <w:sz w:val="24"/>
        </w:rPr>
        <w:t xml:space="preserve">                 </w:t>
      </w: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7E4F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1747C233">
            <w:pPr>
              <w:tabs>
                <w:tab w:val="left" w:pos="825"/>
              </w:tabs>
              <w:spacing w:before="120" w:beforeLines="50" w:after="120" w:afterLines="50" w:line="360" w:lineRule="auto"/>
              <w:jc w:val="center"/>
              <w:rPr>
                <w:b/>
                <w:sz w:val="24"/>
              </w:rPr>
            </w:pPr>
            <w:r>
              <w:rPr>
                <w:rFonts w:hint="eastAsia"/>
                <w:b/>
                <w:sz w:val="24"/>
              </w:rPr>
              <w:t>序号</w:t>
            </w:r>
          </w:p>
        </w:tc>
        <w:tc>
          <w:tcPr>
            <w:tcW w:w="2973" w:type="dxa"/>
            <w:vAlign w:val="center"/>
          </w:tcPr>
          <w:p w14:paraId="36F1CD49">
            <w:pPr>
              <w:tabs>
                <w:tab w:val="left" w:pos="825"/>
              </w:tabs>
              <w:spacing w:before="120" w:beforeLines="50" w:after="120" w:afterLines="50" w:line="360" w:lineRule="auto"/>
              <w:jc w:val="center"/>
              <w:rPr>
                <w:b/>
                <w:sz w:val="24"/>
              </w:rPr>
            </w:pPr>
            <w:r>
              <w:rPr>
                <w:rFonts w:hint="eastAsia"/>
                <w:b/>
                <w:sz w:val="24"/>
              </w:rPr>
              <w:t>项目名称</w:t>
            </w:r>
          </w:p>
        </w:tc>
        <w:tc>
          <w:tcPr>
            <w:tcW w:w="1507" w:type="dxa"/>
            <w:vAlign w:val="center"/>
          </w:tcPr>
          <w:p w14:paraId="755D2A2E">
            <w:pPr>
              <w:tabs>
                <w:tab w:val="left" w:pos="825"/>
              </w:tabs>
              <w:spacing w:before="120" w:beforeLines="50" w:after="120" w:afterLines="50" w:line="360" w:lineRule="auto"/>
              <w:jc w:val="center"/>
              <w:rPr>
                <w:b/>
                <w:sz w:val="24"/>
              </w:rPr>
            </w:pPr>
            <w:r>
              <w:rPr>
                <w:rFonts w:hint="eastAsia"/>
                <w:b/>
                <w:sz w:val="24"/>
              </w:rPr>
              <w:t>报价（元）</w:t>
            </w:r>
          </w:p>
        </w:tc>
        <w:tc>
          <w:tcPr>
            <w:tcW w:w="1560" w:type="dxa"/>
            <w:vAlign w:val="center"/>
          </w:tcPr>
          <w:p w14:paraId="12281D8D">
            <w:pPr>
              <w:tabs>
                <w:tab w:val="left" w:pos="825"/>
              </w:tabs>
              <w:spacing w:before="120" w:beforeLines="50" w:after="120" w:afterLines="50" w:line="360" w:lineRule="auto"/>
              <w:jc w:val="center"/>
              <w:rPr>
                <w:b/>
                <w:sz w:val="24"/>
              </w:rPr>
            </w:pPr>
            <w:r>
              <w:rPr>
                <w:rFonts w:hint="eastAsia"/>
                <w:b/>
                <w:sz w:val="24"/>
              </w:rPr>
              <w:t>服务周期</w:t>
            </w:r>
          </w:p>
        </w:tc>
        <w:tc>
          <w:tcPr>
            <w:tcW w:w="1507" w:type="dxa"/>
            <w:vAlign w:val="center"/>
          </w:tcPr>
          <w:p w14:paraId="280260FF">
            <w:pPr>
              <w:tabs>
                <w:tab w:val="left" w:pos="825"/>
              </w:tabs>
              <w:spacing w:before="120" w:beforeLines="50" w:after="120" w:afterLines="50" w:line="360" w:lineRule="auto"/>
              <w:jc w:val="center"/>
              <w:rPr>
                <w:b/>
                <w:sz w:val="24"/>
              </w:rPr>
            </w:pPr>
            <w:r>
              <w:rPr>
                <w:rFonts w:hint="eastAsia"/>
                <w:b/>
                <w:sz w:val="24"/>
              </w:rPr>
              <w:t>备注</w:t>
            </w:r>
          </w:p>
        </w:tc>
      </w:tr>
      <w:tr w14:paraId="4EDE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5A84789B">
            <w:pPr>
              <w:spacing w:before="120" w:line="360" w:lineRule="auto"/>
              <w:jc w:val="center"/>
              <w:rPr>
                <w:rFonts w:ascii="宋体" w:hAnsi="宋体"/>
                <w:sz w:val="24"/>
              </w:rPr>
            </w:pPr>
            <w:r>
              <w:rPr>
                <w:rFonts w:hint="eastAsia" w:ascii="宋体" w:hAnsi="宋体"/>
                <w:sz w:val="24"/>
              </w:rPr>
              <w:t>1</w:t>
            </w:r>
          </w:p>
        </w:tc>
        <w:tc>
          <w:tcPr>
            <w:tcW w:w="2973" w:type="dxa"/>
            <w:vAlign w:val="center"/>
          </w:tcPr>
          <w:p w14:paraId="2713B118">
            <w:pPr>
              <w:spacing w:before="120" w:line="360" w:lineRule="auto"/>
              <w:rPr>
                <w:sz w:val="24"/>
              </w:rPr>
            </w:pPr>
          </w:p>
        </w:tc>
        <w:tc>
          <w:tcPr>
            <w:tcW w:w="1507" w:type="dxa"/>
            <w:vAlign w:val="center"/>
          </w:tcPr>
          <w:p w14:paraId="397DB6F1">
            <w:pPr>
              <w:tabs>
                <w:tab w:val="left" w:pos="825"/>
              </w:tabs>
              <w:spacing w:before="120" w:line="360" w:lineRule="auto"/>
              <w:jc w:val="center"/>
              <w:rPr>
                <w:sz w:val="24"/>
              </w:rPr>
            </w:pPr>
          </w:p>
        </w:tc>
        <w:tc>
          <w:tcPr>
            <w:tcW w:w="1560" w:type="dxa"/>
            <w:vAlign w:val="center"/>
          </w:tcPr>
          <w:p w14:paraId="26E0117F">
            <w:pPr>
              <w:tabs>
                <w:tab w:val="left" w:pos="825"/>
              </w:tabs>
              <w:spacing w:before="120" w:line="360" w:lineRule="auto"/>
              <w:jc w:val="center"/>
              <w:rPr>
                <w:sz w:val="24"/>
              </w:rPr>
            </w:pPr>
            <w:r>
              <w:rPr>
                <w:rFonts w:hint="eastAsia"/>
                <w:sz w:val="24"/>
              </w:rPr>
              <w:t>1年</w:t>
            </w:r>
          </w:p>
        </w:tc>
        <w:tc>
          <w:tcPr>
            <w:tcW w:w="1507" w:type="dxa"/>
            <w:vAlign w:val="center"/>
          </w:tcPr>
          <w:p w14:paraId="7D0BF5B9">
            <w:pPr>
              <w:tabs>
                <w:tab w:val="left" w:pos="825"/>
              </w:tabs>
              <w:spacing w:before="120" w:line="360" w:lineRule="auto"/>
              <w:jc w:val="center"/>
              <w:rPr>
                <w:sz w:val="24"/>
              </w:rPr>
            </w:pPr>
          </w:p>
        </w:tc>
      </w:tr>
    </w:tbl>
    <w:p w14:paraId="4F2F7C15">
      <w:pPr>
        <w:pStyle w:val="13"/>
        <w:spacing w:before="360" w:line="360" w:lineRule="auto"/>
      </w:pPr>
    </w:p>
    <w:p w14:paraId="6BB82205">
      <w:pPr>
        <w:pStyle w:val="13"/>
        <w:spacing w:before="360" w:line="360" w:lineRule="auto"/>
        <w:rPr>
          <w:u w:val="single"/>
        </w:rPr>
      </w:pPr>
      <w:r>
        <w:rPr>
          <w:rFonts w:hint="eastAsia"/>
        </w:rPr>
        <w:t>采购论证总价大写金额：</w:t>
      </w:r>
      <w:r>
        <w:rPr>
          <w:rFonts w:hint="eastAsia"/>
          <w:u w:val="single"/>
        </w:rPr>
        <w:t xml:space="preserve">                               </w:t>
      </w:r>
    </w:p>
    <w:p w14:paraId="11FE0557">
      <w:pPr>
        <w:spacing w:line="360" w:lineRule="auto"/>
      </w:pPr>
    </w:p>
    <w:p w14:paraId="591FA742">
      <w:pPr>
        <w:spacing w:line="360" w:lineRule="auto"/>
        <w:rPr>
          <w:sz w:val="24"/>
        </w:rPr>
      </w:pPr>
      <w:r>
        <w:rPr>
          <w:rFonts w:hint="eastAsia"/>
          <w:sz w:val="24"/>
        </w:rPr>
        <w:t>响应人（公章）：</w:t>
      </w:r>
      <w:r>
        <w:rPr>
          <w:rFonts w:hint="eastAsia"/>
          <w:u w:val="single"/>
        </w:rPr>
        <w:t xml:space="preserve">                                          </w:t>
      </w:r>
    </w:p>
    <w:p w14:paraId="2E6061D9">
      <w:pPr>
        <w:spacing w:line="360" w:lineRule="auto"/>
        <w:rPr>
          <w:sz w:val="24"/>
        </w:rPr>
      </w:pPr>
    </w:p>
    <w:p w14:paraId="429697A0">
      <w:pPr>
        <w:spacing w:line="360" w:lineRule="auto"/>
        <w:rPr>
          <w:sz w:val="24"/>
        </w:rPr>
      </w:pPr>
      <w:r>
        <w:rPr>
          <w:rFonts w:hint="eastAsia"/>
          <w:sz w:val="24"/>
        </w:rPr>
        <w:t>法定代表人/授权代表（签字）：</w:t>
      </w:r>
      <w:r>
        <w:rPr>
          <w:rFonts w:hint="eastAsia"/>
          <w:u w:val="single"/>
        </w:rPr>
        <w:t xml:space="preserve">                           </w:t>
      </w:r>
    </w:p>
    <w:p w14:paraId="2643AE24">
      <w:pPr>
        <w:spacing w:line="360" w:lineRule="auto"/>
        <w:rPr>
          <w:sz w:val="24"/>
        </w:rPr>
      </w:pPr>
    </w:p>
    <w:p w14:paraId="0D7C6CD4">
      <w:pPr>
        <w:spacing w:line="360" w:lineRule="auto"/>
        <w:rPr>
          <w:rFonts w:eastAsia="仿宋_GB2312"/>
          <w:sz w:val="24"/>
        </w:rPr>
      </w:pPr>
      <w:r>
        <w:rPr>
          <w:rFonts w:hint="eastAsia"/>
          <w:sz w:val="24"/>
        </w:rPr>
        <w:t>日         期：</w:t>
      </w:r>
      <w:r>
        <w:rPr>
          <w:rFonts w:hint="eastAsia"/>
          <w:u w:val="single"/>
        </w:rPr>
        <w:t xml:space="preserve">                                           </w:t>
      </w:r>
    </w:p>
    <w:p w14:paraId="7967BB02">
      <w:pPr>
        <w:pStyle w:val="26"/>
        <w:spacing w:line="360" w:lineRule="auto"/>
        <w:ind w:left="0" w:leftChars="0" w:firstLine="0" w:firstLineChars="0"/>
        <w:rPr>
          <w:rFonts w:eastAsia="仿宋_GB2312"/>
          <w:b/>
          <w:bCs/>
          <w:sz w:val="24"/>
        </w:rPr>
      </w:pPr>
    </w:p>
    <w:p w14:paraId="1B7E2C32">
      <w:pPr>
        <w:pStyle w:val="26"/>
        <w:spacing w:line="360" w:lineRule="auto"/>
        <w:ind w:left="0" w:leftChars="0" w:firstLine="0" w:firstLineChars="0"/>
        <w:rPr>
          <w:rFonts w:eastAsia="仿宋_GB2312"/>
          <w:b/>
          <w:bCs/>
          <w:sz w:val="24"/>
        </w:rPr>
      </w:pPr>
    </w:p>
    <w:p w14:paraId="5272465E">
      <w:pPr>
        <w:pStyle w:val="26"/>
        <w:spacing w:line="360" w:lineRule="auto"/>
        <w:ind w:left="0" w:leftChars="0" w:firstLine="0" w:firstLineChars="0"/>
        <w:rPr>
          <w:rFonts w:eastAsia="仿宋_GB2312"/>
          <w:b/>
          <w:bCs/>
          <w:sz w:val="24"/>
        </w:rPr>
      </w:pPr>
    </w:p>
    <w:p w14:paraId="05025394">
      <w:pPr>
        <w:pStyle w:val="26"/>
        <w:spacing w:line="360" w:lineRule="auto"/>
        <w:ind w:left="0" w:leftChars="0" w:firstLine="0" w:firstLineChars="0"/>
        <w:rPr>
          <w:rFonts w:eastAsia="仿宋_GB2312"/>
          <w:b/>
          <w:bCs/>
          <w:sz w:val="24"/>
        </w:rPr>
      </w:pPr>
    </w:p>
    <w:p w14:paraId="454CF68F">
      <w:pPr>
        <w:pStyle w:val="26"/>
        <w:spacing w:line="360" w:lineRule="auto"/>
        <w:ind w:left="0" w:leftChars="0" w:firstLine="0" w:firstLineChars="0"/>
        <w:rPr>
          <w:rFonts w:eastAsia="仿宋_GB2312"/>
          <w:b/>
          <w:bCs/>
          <w:sz w:val="24"/>
        </w:rPr>
      </w:pPr>
    </w:p>
    <w:p w14:paraId="349BA2B8">
      <w:pPr>
        <w:pStyle w:val="26"/>
        <w:spacing w:line="360" w:lineRule="auto"/>
        <w:ind w:left="0" w:leftChars="0" w:firstLine="0" w:firstLineChars="0"/>
        <w:rPr>
          <w:rFonts w:eastAsia="仿宋_GB2312"/>
          <w:b/>
          <w:bCs/>
          <w:sz w:val="24"/>
        </w:rPr>
      </w:pPr>
    </w:p>
    <w:p w14:paraId="51BE2D5B">
      <w:pPr>
        <w:pStyle w:val="26"/>
        <w:spacing w:line="360" w:lineRule="auto"/>
        <w:ind w:left="0" w:leftChars="0" w:firstLine="0" w:firstLineChars="0"/>
        <w:rPr>
          <w:rFonts w:eastAsia="仿宋_GB2312"/>
          <w:b/>
          <w:bCs/>
          <w:sz w:val="24"/>
        </w:rPr>
      </w:pPr>
    </w:p>
    <w:p w14:paraId="07DEE4F6">
      <w:pPr>
        <w:pStyle w:val="26"/>
        <w:spacing w:line="360" w:lineRule="auto"/>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0D02703C">
      <w:pPr>
        <w:spacing w:line="360" w:lineRule="auto"/>
        <w:jc w:val="center"/>
        <w:rPr>
          <w:rFonts w:ascii="宋体"/>
          <w:sz w:val="24"/>
        </w:rPr>
      </w:pPr>
      <w:r>
        <w:rPr>
          <w:rFonts w:hint="eastAsia" w:ascii="宋体"/>
          <w:b/>
          <w:sz w:val="28"/>
        </w:rPr>
        <w:t>关于资格的声明函</w:t>
      </w:r>
    </w:p>
    <w:p w14:paraId="3198707C">
      <w:pPr>
        <w:spacing w:line="360" w:lineRule="auto"/>
        <w:rPr>
          <w:rFonts w:ascii="宋体"/>
          <w:sz w:val="24"/>
        </w:rPr>
      </w:pPr>
      <w:r>
        <w:rPr>
          <w:rFonts w:ascii="宋体"/>
          <w:sz w:val="24"/>
        </w:rPr>
        <w:t xml:space="preserve">     </w:t>
      </w:r>
    </w:p>
    <w:p w14:paraId="402011D9">
      <w:pPr>
        <w:spacing w:line="360" w:lineRule="auto"/>
        <w:rPr>
          <w:rFonts w:ascii="宋体"/>
          <w:sz w:val="24"/>
        </w:rPr>
      </w:pPr>
      <w:r>
        <w:rPr>
          <w:rFonts w:ascii="宋体"/>
        </w:rPr>
        <w:t>___________________________</w:t>
      </w:r>
      <w:r>
        <w:rPr>
          <w:rFonts w:hint="eastAsia" w:ascii="宋体"/>
          <w:sz w:val="24"/>
        </w:rPr>
        <w:t>：</w:t>
      </w:r>
    </w:p>
    <w:p w14:paraId="295992A4">
      <w:pPr>
        <w:spacing w:line="360" w:lineRule="auto"/>
        <w:rPr>
          <w:rFonts w:ascii="宋体"/>
          <w:sz w:val="24"/>
        </w:rPr>
      </w:pPr>
      <w:r>
        <w:rPr>
          <w:rFonts w:ascii="宋体"/>
          <w:sz w:val="24"/>
        </w:rPr>
        <w:t xml:space="preserve">    </w:t>
      </w:r>
    </w:p>
    <w:p w14:paraId="6C5B6B20">
      <w:pPr>
        <w:spacing w:line="360" w:lineRule="auto"/>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0A29AAC2">
      <w:pPr>
        <w:spacing w:line="360" w:lineRule="auto"/>
        <w:rPr>
          <w:rFonts w:ascii="宋体"/>
          <w:sz w:val="24"/>
        </w:rPr>
      </w:pPr>
      <w:r>
        <w:rPr>
          <w:rFonts w:ascii="宋体"/>
          <w:sz w:val="24"/>
        </w:rPr>
        <w:t xml:space="preserve">    </w:t>
      </w:r>
    </w:p>
    <w:p w14:paraId="7B8878F7">
      <w:pPr>
        <w:spacing w:line="360" w:lineRule="auto"/>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3D95872E">
      <w:pPr>
        <w:spacing w:line="360" w:lineRule="auto"/>
        <w:rPr>
          <w:rFonts w:ascii="宋体"/>
          <w:sz w:val="24"/>
        </w:rPr>
      </w:pPr>
      <w:r>
        <w:rPr>
          <w:rFonts w:ascii="宋体"/>
          <w:sz w:val="24"/>
        </w:rPr>
        <w:t xml:space="preserve">    </w:t>
      </w:r>
    </w:p>
    <w:p w14:paraId="2C6FB578">
      <w:pPr>
        <w:spacing w:line="360" w:lineRule="auto"/>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54919A8E">
      <w:pPr>
        <w:spacing w:line="360" w:lineRule="auto"/>
        <w:rPr>
          <w:rFonts w:ascii="宋体"/>
          <w:sz w:val="24"/>
        </w:rPr>
      </w:pPr>
      <w:r>
        <w:rPr>
          <w:rFonts w:ascii="宋体"/>
          <w:sz w:val="24"/>
        </w:rPr>
        <w:t xml:space="preserve">     </w:t>
      </w:r>
    </w:p>
    <w:p w14:paraId="70E30AE1">
      <w:pPr>
        <w:spacing w:line="360" w:lineRule="auto"/>
        <w:rPr>
          <w:rFonts w:ascii="宋体"/>
          <w:sz w:val="24"/>
        </w:rPr>
      </w:pPr>
      <w:r>
        <w:rPr>
          <w:rFonts w:ascii="宋体"/>
          <w:sz w:val="24"/>
        </w:rPr>
        <w:t xml:space="preserve">    </w:t>
      </w:r>
    </w:p>
    <w:p w14:paraId="51255D03">
      <w:pPr>
        <w:spacing w:before="120" w:beforeLines="50" w:line="360" w:lineRule="auto"/>
        <w:ind w:firstLine="360" w:firstLineChars="150"/>
        <w:rPr>
          <w:sz w:val="24"/>
        </w:rPr>
      </w:pPr>
      <w:r>
        <w:rPr>
          <w:rFonts w:hint="eastAsia"/>
          <w:sz w:val="24"/>
        </w:rPr>
        <w:t>响应人名称（盖章）：</w:t>
      </w:r>
      <w:r>
        <w:rPr>
          <w:sz w:val="24"/>
        </w:rPr>
        <w:t>___________________</w:t>
      </w:r>
    </w:p>
    <w:p w14:paraId="216E1EEC">
      <w:pPr>
        <w:spacing w:before="120" w:beforeLines="50" w:line="360" w:lineRule="auto"/>
        <w:ind w:firstLine="360" w:firstLineChars="150"/>
        <w:rPr>
          <w:sz w:val="24"/>
        </w:rPr>
      </w:pPr>
      <w:r>
        <w:rPr>
          <w:rFonts w:hint="eastAsia"/>
          <w:sz w:val="24"/>
        </w:rPr>
        <w:t>法定代表人/授权代表（签字）：</w:t>
      </w:r>
      <w:r>
        <w:rPr>
          <w:sz w:val="24"/>
        </w:rPr>
        <w:t>___________________</w:t>
      </w:r>
    </w:p>
    <w:p w14:paraId="18A50D9E">
      <w:pPr>
        <w:spacing w:before="120" w:beforeLines="50" w:line="360" w:lineRule="auto"/>
        <w:ind w:firstLine="360" w:firstLineChars="150"/>
        <w:rPr>
          <w:sz w:val="24"/>
        </w:rPr>
      </w:pPr>
      <w:r>
        <w:rPr>
          <w:rFonts w:hint="eastAsia"/>
          <w:sz w:val="24"/>
        </w:rPr>
        <w:t>日   期：</w:t>
      </w:r>
      <w:r>
        <w:rPr>
          <w:sz w:val="24"/>
        </w:rPr>
        <w:t xml:space="preserve">___________________     </w:t>
      </w:r>
    </w:p>
    <w:p w14:paraId="0F081DA0">
      <w:pPr>
        <w:pStyle w:val="26"/>
        <w:spacing w:line="360" w:lineRule="auto"/>
        <w:ind w:left="0" w:leftChars="0" w:firstLine="0" w:firstLineChars="0"/>
        <w:jc w:val="center"/>
        <w:rPr>
          <w:rFonts w:eastAsia="仿宋_GB2312"/>
          <w:b/>
          <w:bCs/>
          <w:sz w:val="24"/>
        </w:rPr>
      </w:pPr>
    </w:p>
    <w:p w14:paraId="45653195">
      <w:pPr>
        <w:pStyle w:val="26"/>
        <w:spacing w:line="360" w:lineRule="auto"/>
        <w:ind w:left="0" w:leftChars="0" w:firstLine="0" w:firstLineChars="0"/>
        <w:rPr>
          <w:rFonts w:eastAsia="仿宋_GB2312"/>
          <w:sz w:val="24"/>
        </w:rPr>
      </w:pPr>
    </w:p>
    <w:p w14:paraId="562BEC48">
      <w:pPr>
        <w:spacing w:line="360" w:lineRule="auto"/>
        <w:jc w:val="left"/>
        <w:outlineLvl w:val="0"/>
        <w:rPr>
          <w:rFonts w:eastAsia="黑体"/>
          <w:sz w:val="24"/>
        </w:rPr>
        <w:sectPr>
          <w:headerReference r:id="rId8" w:type="default"/>
          <w:footerReference r:id="rId9" w:type="default"/>
          <w:pgSz w:w="11907" w:h="16840"/>
          <w:pgMar w:top="1588" w:right="1134" w:bottom="1814" w:left="1418" w:header="851" w:footer="737" w:gutter="0"/>
          <w:pgNumType w:fmt="decimal"/>
          <w:cols w:space="720" w:num="1"/>
          <w:docGrid w:linePitch="285" w:charSpace="0"/>
        </w:sectPr>
      </w:pPr>
    </w:p>
    <w:p w14:paraId="6E14671C">
      <w:pPr>
        <w:spacing w:line="360" w:lineRule="auto"/>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1FC49F06">
      <w:pPr>
        <w:spacing w:line="360" w:lineRule="auto"/>
        <w:rPr>
          <w:rFonts w:ascii="宋体"/>
          <w:b/>
          <w:sz w:val="28"/>
        </w:rPr>
      </w:pPr>
      <w:r>
        <w:rPr>
          <w:rFonts w:hint="eastAsia"/>
          <w:b/>
          <w:sz w:val="28"/>
          <w:szCs w:val="28"/>
        </w:rPr>
        <w:t xml:space="preserve">                         </w:t>
      </w:r>
      <w:r>
        <w:rPr>
          <w:rFonts w:hint="eastAsia" w:ascii="宋体"/>
          <w:b/>
          <w:sz w:val="28"/>
        </w:rPr>
        <w:t>响应人单位情况表</w:t>
      </w:r>
    </w:p>
    <w:p w14:paraId="55157AC7">
      <w:pPr>
        <w:spacing w:line="360" w:lineRule="auto"/>
        <w:jc w:val="center"/>
        <w:rPr>
          <w:rFonts w:ascii="宋体"/>
          <w:b/>
          <w:sz w:val="30"/>
        </w:rPr>
      </w:pPr>
    </w:p>
    <w:p w14:paraId="3413F6B7">
      <w:pPr>
        <w:spacing w:line="360" w:lineRule="auto"/>
        <w:rPr>
          <w:b/>
        </w:rPr>
      </w:pPr>
    </w:p>
    <w:p w14:paraId="7CEC9CD3">
      <w:pPr>
        <w:spacing w:after="240" w:line="360" w:lineRule="auto"/>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24F8E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1C493C65">
            <w:pPr>
              <w:spacing w:line="360" w:lineRule="auto"/>
              <w:jc w:val="center"/>
            </w:pPr>
            <w:r>
              <w:rPr>
                <w:rFonts w:hint="eastAsia"/>
              </w:rPr>
              <w:t>响应人单位名称</w:t>
            </w:r>
          </w:p>
        </w:tc>
        <w:tc>
          <w:tcPr>
            <w:tcW w:w="7875" w:type="dxa"/>
            <w:gridSpan w:val="10"/>
          </w:tcPr>
          <w:p w14:paraId="409EBE57">
            <w:pPr>
              <w:spacing w:line="360" w:lineRule="auto"/>
              <w:jc w:val="center"/>
            </w:pPr>
          </w:p>
        </w:tc>
      </w:tr>
      <w:tr w14:paraId="54325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7C9C2686">
            <w:pPr>
              <w:spacing w:line="360" w:lineRule="atLeast"/>
              <w:jc w:val="center"/>
            </w:pPr>
            <w:r>
              <w:rPr>
                <w:rFonts w:hint="eastAsia"/>
              </w:rPr>
              <w:t>详细地址</w:t>
            </w:r>
          </w:p>
        </w:tc>
        <w:tc>
          <w:tcPr>
            <w:tcW w:w="7875" w:type="dxa"/>
            <w:gridSpan w:val="10"/>
          </w:tcPr>
          <w:p w14:paraId="0D7ECAAF">
            <w:pPr>
              <w:spacing w:line="360" w:lineRule="atLeast"/>
              <w:jc w:val="center"/>
            </w:pPr>
          </w:p>
        </w:tc>
      </w:tr>
      <w:tr w14:paraId="7BA23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29BBEFA3">
            <w:pPr>
              <w:spacing w:line="360" w:lineRule="atLeast"/>
              <w:jc w:val="center"/>
            </w:pPr>
            <w:r>
              <w:rPr>
                <w:rFonts w:hint="eastAsia"/>
              </w:rPr>
              <w:t>主管部门</w:t>
            </w:r>
          </w:p>
        </w:tc>
        <w:tc>
          <w:tcPr>
            <w:tcW w:w="1575" w:type="dxa"/>
            <w:gridSpan w:val="2"/>
          </w:tcPr>
          <w:p w14:paraId="29E50886">
            <w:pPr>
              <w:spacing w:line="360" w:lineRule="atLeast"/>
              <w:jc w:val="center"/>
            </w:pPr>
          </w:p>
        </w:tc>
        <w:tc>
          <w:tcPr>
            <w:tcW w:w="1470" w:type="dxa"/>
            <w:gridSpan w:val="2"/>
          </w:tcPr>
          <w:p w14:paraId="5284BB05">
            <w:pPr>
              <w:spacing w:line="360" w:lineRule="atLeast"/>
              <w:jc w:val="center"/>
            </w:pPr>
            <w:r>
              <w:rPr>
                <w:rFonts w:hint="eastAsia"/>
              </w:rPr>
              <w:t>法人代表</w:t>
            </w:r>
          </w:p>
        </w:tc>
        <w:tc>
          <w:tcPr>
            <w:tcW w:w="1680" w:type="dxa"/>
            <w:gridSpan w:val="3"/>
          </w:tcPr>
          <w:p w14:paraId="49078D73">
            <w:pPr>
              <w:spacing w:line="360" w:lineRule="atLeast"/>
              <w:jc w:val="center"/>
            </w:pPr>
          </w:p>
        </w:tc>
        <w:tc>
          <w:tcPr>
            <w:tcW w:w="945" w:type="dxa"/>
          </w:tcPr>
          <w:p w14:paraId="41CA5E6D">
            <w:pPr>
              <w:spacing w:line="360" w:lineRule="atLeast"/>
              <w:jc w:val="center"/>
            </w:pPr>
            <w:r>
              <w:rPr>
                <w:rFonts w:hint="eastAsia"/>
              </w:rPr>
              <w:t>职务</w:t>
            </w:r>
          </w:p>
        </w:tc>
        <w:tc>
          <w:tcPr>
            <w:tcW w:w="2205" w:type="dxa"/>
            <w:gridSpan w:val="2"/>
          </w:tcPr>
          <w:p w14:paraId="0B9559C9">
            <w:pPr>
              <w:spacing w:line="360" w:lineRule="atLeast"/>
              <w:jc w:val="center"/>
            </w:pPr>
          </w:p>
        </w:tc>
      </w:tr>
      <w:tr w14:paraId="486E5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8AC4F79">
            <w:pPr>
              <w:spacing w:line="360" w:lineRule="atLeast"/>
              <w:jc w:val="center"/>
            </w:pPr>
            <w:r>
              <w:rPr>
                <w:rFonts w:hint="eastAsia"/>
              </w:rPr>
              <w:t>经济类型</w:t>
            </w:r>
          </w:p>
        </w:tc>
        <w:tc>
          <w:tcPr>
            <w:tcW w:w="1575" w:type="dxa"/>
            <w:gridSpan w:val="2"/>
          </w:tcPr>
          <w:p w14:paraId="257192A0">
            <w:pPr>
              <w:spacing w:line="360" w:lineRule="atLeast"/>
              <w:jc w:val="center"/>
            </w:pPr>
          </w:p>
        </w:tc>
        <w:tc>
          <w:tcPr>
            <w:tcW w:w="1470" w:type="dxa"/>
            <w:gridSpan w:val="2"/>
          </w:tcPr>
          <w:p w14:paraId="1112CA69">
            <w:pPr>
              <w:spacing w:line="360" w:lineRule="atLeast"/>
              <w:jc w:val="center"/>
            </w:pPr>
            <w:r>
              <w:rPr>
                <w:rFonts w:hint="eastAsia"/>
              </w:rPr>
              <w:t>授权代表</w:t>
            </w:r>
          </w:p>
        </w:tc>
        <w:tc>
          <w:tcPr>
            <w:tcW w:w="1680" w:type="dxa"/>
            <w:gridSpan w:val="3"/>
          </w:tcPr>
          <w:p w14:paraId="18EBE029">
            <w:pPr>
              <w:spacing w:line="360" w:lineRule="atLeast"/>
              <w:jc w:val="center"/>
            </w:pPr>
          </w:p>
        </w:tc>
        <w:tc>
          <w:tcPr>
            <w:tcW w:w="945" w:type="dxa"/>
          </w:tcPr>
          <w:p w14:paraId="2C033959">
            <w:pPr>
              <w:spacing w:line="360" w:lineRule="atLeast"/>
              <w:jc w:val="center"/>
            </w:pPr>
            <w:r>
              <w:rPr>
                <w:rFonts w:hint="eastAsia"/>
              </w:rPr>
              <w:t>职务</w:t>
            </w:r>
          </w:p>
        </w:tc>
        <w:tc>
          <w:tcPr>
            <w:tcW w:w="2205" w:type="dxa"/>
            <w:gridSpan w:val="2"/>
          </w:tcPr>
          <w:p w14:paraId="12BBC481">
            <w:pPr>
              <w:spacing w:line="360" w:lineRule="atLeast"/>
              <w:jc w:val="center"/>
            </w:pPr>
          </w:p>
        </w:tc>
      </w:tr>
      <w:tr w14:paraId="41A7A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4B74A017">
            <w:pPr>
              <w:spacing w:line="360" w:lineRule="atLeast"/>
              <w:jc w:val="center"/>
            </w:pPr>
            <w:r>
              <w:rPr>
                <w:rFonts w:hint="eastAsia"/>
              </w:rPr>
              <w:t>邮政编码</w:t>
            </w:r>
          </w:p>
        </w:tc>
        <w:tc>
          <w:tcPr>
            <w:tcW w:w="1575" w:type="dxa"/>
            <w:gridSpan w:val="2"/>
          </w:tcPr>
          <w:p w14:paraId="542E7D0D">
            <w:pPr>
              <w:spacing w:line="360" w:lineRule="atLeast"/>
              <w:jc w:val="center"/>
            </w:pPr>
          </w:p>
        </w:tc>
        <w:tc>
          <w:tcPr>
            <w:tcW w:w="1470" w:type="dxa"/>
            <w:gridSpan w:val="2"/>
          </w:tcPr>
          <w:p w14:paraId="16804EBE">
            <w:pPr>
              <w:spacing w:line="360" w:lineRule="atLeast"/>
              <w:jc w:val="center"/>
            </w:pPr>
            <w:r>
              <w:rPr>
                <w:rFonts w:hint="eastAsia"/>
              </w:rPr>
              <w:t>电话</w:t>
            </w:r>
          </w:p>
        </w:tc>
        <w:tc>
          <w:tcPr>
            <w:tcW w:w="1680" w:type="dxa"/>
            <w:gridSpan w:val="3"/>
          </w:tcPr>
          <w:p w14:paraId="53597B88">
            <w:pPr>
              <w:spacing w:line="360" w:lineRule="atLeast"/>
              <w:jc w:val="center"/>
            </w:pPr>
          </w:p>
        </w:tc>
        <w:tc>
          <w:tcPr>
            <w:tcW w:w="945" w:type="dxa"/>
          </w:tcPr>
          <w:p w14:paraId="2AE4E633">
            <w:pPr>
              <w:spacing w:line="360" w:lineRule="atLeast"/>
              <w:jc w:val="center"/>
            </w:pPr>
            <w:r>
              <w:rPr>
                <w:rFonts w:hint="eastAsia"/>
              </w:rPr>
              <w:t>传真</w:t>
            </w:r>
          </w:p>
        </w:tc>
        <w:tc>
          <w:tcPr>
            <w:tcW w:w="2205" w:type="dxa"/>
            <w:gridSpan w:val="2"/>
          </w:tcPr>
          <w:p w14:paraId="2A600B8B">
            <w:pPr>
              <w:spacing w:line="360" w:lineRule="atLeast"/>
              <w:jc w:val="center"/>
            </w:pPr>
          </w:p>
        </w:tc>
      </w:tr>
      <w:tr w14:paraId="64325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577B1BE1">
            <w:pPr>
              <w:spacing w:line="360" w:lineRule="atLeast"/>
              <w:jc w:val="center"/>
            </w:pPr>
          </w:p>
          <w:p w14:paraId="28E97735">
            <w:pPr>
              <w:spacing w:line="360" w:lineRule="atLeast"/>
              <w:jc w:val="center"/>
            </w:pPr>
            <w:r>
              <w:rPr>
                <w:rFonts w:hint="eastAsia"/>
              </w:rPr>
              <w:t>单位简历</w:t>
            </w:r>
          </w:p>
          <w:p w14:paraId="1F8EF862">
            <w:pPr>
              <w:spacing w:line="360" w:lineRule="atLeast"/>
              <w:jc w:val="center"/>
            </w:pPr>
            <w:r>
              <w:rPr>
                <w:rFonts w:hint="eastAsia"/>
              </w:rPr>
              <w:t>及机构</w:t>
            </w:r>
          </w:p>
        </w:tc>
        <w:tc>
          <w:tcPr>
            <w:tcW w:w="7875" w:type="dxa"/>
            <w:gridSpan w:val="10"/>
          </w:tcPr>
          <w:p w14:paraId="4ADB900F">
            <w:pPr>
              <w:spacing w:line="360" w:lineRule="atLeast"/>
            </w:pPr>
          </w:p>
        </w:tc>
      </w:tr>
      <w:tr w14:paraId="4460C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7AF5C4F6">
            <w:pPr>
              <w:spacing w:line="360" w:lineRule="atLeast"/>
              <w:jc w:val="center"/>
            </w:pPr>
            <w:r>
              <w:rPr>
                <w:rFonts w:hint="eastAsia"/>
              </w:rPr>
              <w:t>单位优势</w:t>
            </w:r>
          </w:p>
          <w:p w14:paraId="4191FBC4">
            <w:pPr>
              <w:spacing w:line="360" w:lineRule="atLeast"/>
              <w:jc w:val="center"/>
            </w:pPr>
            <w:r>
              <w:rPr>
                <w:rFonts w:hint="eastAsia"/>
              </w:rPr>
              <w:t>及特长</w:t>
            </w:r>
          </w:p>
        </w:tc>
        <w:tc>
          <w:tcPr>
            <w:tcW w:w="7875" w:type="dxa"/>
            <w:gridSpan w:val="10"/>
            <w:tcBorders>
              <w:bottom w:val="nil"/>
            </w:tcBorders>
          </w:tcPr>
          <w:p w14:paraId="18746559">
            <w:pPr>
              <w:spacing w:line="360" w:lineRule="atLeast"/>
            </w:pPr>
          </w:p>
        </w:tc>
      </w:tr>
      <w:tr w14:paraId="13760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4F587872">
            <w:pPr>
              <w:spacing w:line="360" w:lineRule="atLeast"/>
            </w:pPr>
          </w:p>
          <w:p w14:paraId="10119485">
            <w:pPr>
              <w:spacing w:line="360" w:lineRule="atLeast"/>
            </w:pPr>
            <w:r>
              <w:t xml:space="preserve">   </w:t>
            </w:r>
            <w:r>
              <w:rPr>
                <w:rFonts w:hint="eastAsia"/>
              </w:rPr>
              <w:t>单</w:t>
            </w:r>
          </w:p>
          <w:p w14:paraId="0D7B6366">
            <w:pPr>
              <w:spacing w:line="360" w:lineRule="atLeast"/>
            </w:pPr>
            <w:r>
              <w:t xml:space="preserve">   </w:t>
            </w:r>
            <w:r>
              <w:rPr>
                <w:rFonts w:hint="eastAsia"/>
              </w:rPr>
              <w:t>位</w:t>
            </w:r>
          </w:p>
          <w:p w14:paraId="51A0F28E">
            <w:pPr>
              <w:spacing w:line="360" w:lineRule="atLeast"/>
            </w:pPr>
            <w:r>
              <w:t xml:space="preserve">   </w:t>
            </w:r>
            <w:r>
              <w:rPr>
                <w:rFonts w:hint="eastAsia"/>
              </w:rPr>
              <w:t>概</w:t>
            </w:r>
          </w:p>
          <w:p w14:paraId="26861BC3">
            <w:pPr>
              <w:spacing w:line="360" w:lineRule="atLeast"/>
            </w:pPr>
            <w:r>
              <w:t xml:space="preserve">   </w:t>
            </w:r>
            <w:r>
              <w:rPr>
                <w:rFonts w:hint="eastAsia"/>
              </w:rPr>
              <w:t>况</w:t>
            </w:r>
          </w:p>
        </w:tc>
        <w:tc>
          <w:tcPr>
            <w:tcW w:w="945" w:type="dxa"/>
            <w:vMerge w:val="restart"/>
          </w:tcPr>
          <w:p w14:paraId="01E3CA15">
            <w:pPr>
              <w:spacing w:line="360" w:lineRule="atLeast"/>
              <w:jc w:val="center"/>
            </w:pPr>
            <w:r>
              <w:rPr>
                <w:rFonts w:hint="eastAsia"/>
              </w:rPr>
              <w:t>职工</w:t>
            </w:r>
          </w:p>
          <w:p w14:paraId="1ACC2A9F">
            <w:pPr>
              <w:spacing w:line="360" w:lineRule="atLeast"/>
              <w:jc w:val="center"/>
            </w:pPr>
            <w:r>
              <w:rPr>
                <w:rFonts w:hint="eastAsia"/>
              </w:rPr>
              <w:t>总数</w:t>
            </w:r>
          </w:p>
        </w:tc>
        <w:tc>
          <w:tcPr>
            <w:tcW w:w="2415" w:type="dxa"/>
            <w:gridSpan w:val="4"/>
            <w:vMerge w:val="restart"/>
          </w:tcPr>
          <w:p w14:paraId="258BE8F0">
            <w:pPr>
              <w:spacing w:line="360" w:lineRule="atLeast"/>
              <w:jc w:val="right"/>
            </w:pPr>
            <w:r>
              <w:rPr>
                <w:rFonts w:hint="eastAsia"/>
              </w:rPr>
              <w:t>人</w:t>
            </w:r>
          </w:p>
        </w:tc>
        <w:tc>
          <w:tcPr>
            <w:tcW w:w="4515" w:type="dxa"/>
            <w:gridSpan w:val="5"/>
          </w:tcPr>
          <w:p w14:paraId="0373FB22">
            <w:pPr>
              <w:spacing w:line="360" w:lineRule="atLeast"/>
            </w:pPr>
            <w:r>
              <w:rPr>
                <w:rFonts w:hint="eastAsia"/>
              </w:rPr>
              <w:t>生产工人（如有）</w:t>
            </w:r>
            <w:r>
              <w:t xml:space="preserve">                </w:t>
            </w:r>
            <w:r>
              <w:rPr>
                <w:rFonts w:hint="eastAsia"/>
              </w:rPr>
              <w:t>人</w:t>
            </w:r>
          </w:p>
        </w:tc>
      </w:tr>
      <w:tr w14:paraId="15CAA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1F053FF">
            <w:pPr>
              <w:spacing w:line="360" w:lineRule="auto"/>
            </w:pPr>
          </w:p>
        </w:tc>
        <w:tc>
          <w:tcPr>
            <w:tcW w:w="945" w:type="dxa"/>
            <w:vMerge w:val="continue"/>
          </w:tcPr>
          <w:p w14:paraId="6BD32FD5">
            <w:pPr>
              <w:spacing w:line="360" w:lineRule="auto"/>
              <w:jc w:val="center"/>
            </w:pPr>
          </w:p>
        </w:tc>
        <w:tc>
          <w:tcPr>
            <w:tcW w:w="2415" w:type="dxa"/>
            <w:gridSpan w:val="4"/>
            <w:vMerge w:val="continue"/>
          </w:tcPr>
          <w:p w14:paraId="1FDEE230">
            <w:pPr>
              <w:spacing w:line="360" w:lineRule="auto"/>
            </w:pPr>
          </w:p>
        </w:tc>
        <w:tc>
          <w:tcPr>
            <w:tcW w:w="4515" w:type="dxa"/>
            <w:gridSpan w:val="5"/>
          </w:tcPr>
          <w:p w14:paraId="4497FCD1">
            <w:pPr>
              <w:spacing w:line="360" w:lineRule="auto"/>
            </w:pPr>
            <w:r>
              <w:rPr>
                <w:rFonts w:hint="eastAsia"/>
              </w:rPr>
              <w:t>技术人员（如有）</w:t>
            </w:r>
            <w:r>
              <w:t xml:space="preserve">           </w:t>
            </w:r>
            <w:r>
              <w:rPr>
                <w:rFonts w:hint="eastAsia"/>
              </w:rPr>
              <w:t xml:space="preserve">    </w:t>
            </w:r>
            <w:r>
              <w:t xml:space="preserve"> </w:t>
            </w:r>
            <w:r>
              <w:rPr>
                <w:rFonts w:hint="eastAsia"/>
              </w:rPr>
              <w:t>人</w:t>
            </w:r>
          </w:p>
        </w:tc>
      </w:tr>
      <w:tr w14:paraId="1D453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1B40DFAA">
            <w:pPr>
              <w:spacing w:line="360" w:lineRule="auto"/>
            </w:pPr>
          </w:p>
        </w:tc>
        <w:tc>
          <w:tcPr>
            <w:tcW w:w="945" w:type="dxa"/>
            <w:vMerge w:val="restart"/>
          </w:tcPr>
          <w:p w14:paraId="22D1407F">
            <w:pPr>
              <w:spacing w:line="360" w:lineRule="auto"/>
              <w:jc w:val="center"/>
            </w:pPr>
            <w:r>
              <w:rPr>
                <w:rFonts w:hint="eastAsia"/>
              </w:rPr>
              <w:t>流动</w:t>
            </w:r>
          </w:p>
          <w:p w14:paraId="50A40368">
            <w:pPr>
              <w:spacing w:line="360" w:lineRule="auto"/>
              <w:jc w:val="center"/>
            </w:pPr>
            <w:r>
              <w:rPr>
                <w:rFonts w:hint="eastAsia"/>
              </w:rPr>
              <w:t>资金</w:t>
            </w:r>
          </w:p>
        </w:tc>
        <w:tc>
          <w:tcPr>
            <w:tcW w:w="2415" w:type="dxa"/>
            <w:gridSpan w:val="4"/>
            <w:vMerge w:val="restart"/>
          </w:tcPr>
          <w:p w14:paraId="3F237A42">
            <w:pPr>
              <w:spacing w:line="360" w:lineRule="auto"/>
              <w:jc w:val="right"/>
            </w:pPr>
            <w:r>
              <w:rPr>
                <w:rFonts w:hint="eastAsia"/>
              </w:rPr>
              <w:t>万元</w:t>
            </w:r>
          </w:p>
        </w:tc>
        <w:tc>
          <w:tcPr>
            <w:tcW w:w="840" w:type="dxa"/>
            <w:vMerge w:val="restart"/>
          </w:tcPr>
          <w:p w14:paraId="4F1608C6">
            <w:pPr>
              <w:spacing w:line="360" w:lineRule="auto"/>
            </w:pPr>
            <w:r>
              <w:rPr>
                <w:rFonts w:hint="eastAsia"/>
              </w:rPr>
              <w:t>资金</w:t>
            </w:r>
          </w:p>
          <w:p w14:paraId="1B5B62C2">
            <w:pPr>
              <w:spacing w:line="360" w:lineRule="auto"/>
            </w:pPr>
            <w:r>
              <w:rPr>
                <w:rFonts w:hint="eastAsia"/>
              </w:rPr>
              <w:t>来源</w:t>
            </w:r>
          </w:p>
        </w:tc>
        <w:tc>
          <w:tcPr>
            <w:tcW w:w="1575" w:type="dxa"/>
            <w:gridSpan w:val="3"/>
          </w:tcPr>
          <w:p w14:paraId="1BE86340">
            <w:pPr>
              <w:spacing w:line="360" w:lineRule="auto"/>
            </w:pPr>
            <w:r>
              <w:rPr>
                <w:rFonts w:hint="eastAsia"/>
              </w:rPr>
              <w:t>自有资金</w:t>
            </w:r>
          </w:p>
        </w:tc>
        <w:tc>
          <w:tcPr>
            <w:tcW w:w="2100" w:type="dxa"/>
          </w:tcPr>
          <w:p w14:paraId="3D345F9F">
            <w:pPr>
              <w:spacing w:line="360" w:lineRule="auto"/>
              <w:jc w:val="right"/>
            </w:pPr>
            <w:r>
              <w:rPr>
                <w:rFonts w:hint="eastAsia"/>
              </w:rPr>
              <w:t>万元</w:t>
            </w:r>
          </w:p>
        </w:tc>
      </w:tr>
      <w:tr w14:paraId="4A179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03E7844B">
            <w:pPr>
              <w:spacing w:line="360" w:lineRule="auto"/>
            </w:pPr>
          </w:p>
        </w:tc>
        <w:tc>
          <w:tcPr>
            <w:tcW w:w="945" w:type="dxa"/>
            <w:vMerge w:val="continue"/>
            <w:tcBorders>
              <w:bottom w:val="nil"/>
            </w:tcBorders>
          </w:tcPr>
          <w:p w14:paraId="63CAD523">
            <w:pPr>
              <w:spacing w:line="360" w:lineRule="auto"/>
              <w:jc w:val="center"/>
            </w:pPr>
          </w:p>
        </w:tc>
        <w:tc>
          <w:tcPr>
            <w:tcW w:w="2415" w:type="dxa"/>
            <w:gridSpan w:val="4"/>
            <w:vMerge w:val="continue"/>
            <w:tcBorders>
              <w:bottom w:val="nil"/>
            </w:tcBorders>
          </w:tcPr>
          <w:p w14:paraId="775F79C7">
            <w:pPr>
              <w:spacing w:line="360" w:lineRule="auto"/>
            </w:pPr>
          </w:p>
        </w:tc>
        <w:tc>
          <w:tcPr>
            <w:tcW w:w="840" w:type="dxa"/>
            <w:vMerge w:val="continue"/>
            <w:tcBorders>
              <w:bottom w:val="nil"/>
            </w:tcBorders>
          </w:tcPr>
          <w:p w14:paraId="24CFADDF">
            <w:pPr>
              <w:spacing w:line="360" w:lineRule="auto"/>
            </w:pPr>
          </w:p>
        </w:tc>
        <w:tc>
          <w:tcPr>
            <w:tcW w:w="1575" w:type="dxa"/>
            <w:gridSpan w:val="3"/>
            <w:tcBorders>
              <w:bottom w:val="nil"/>
            </w:tcBorders>
          </w:tcPr>
          <w:p w14:paraId="4E4E111D">
            <w:pPr>
              <w:spacing w:line="360" w:lineRule="auto"/>
            </w:pPr>
            <w:r>
              <w:rPr>
                <w:rFonts w:hint="eastAsia"/>
              </w:rPr>
              <w:t>银行贷款</w:t>
            </w:r>
          </w:p>
        </w:tc>
        <w:tc>
          <w:tcPr>
            <w:tcW w:w="2100" w:type="dxa"/>
            <w:tcBorders>
              <w:bottom w:val="nil"/>
            </w:tcBorders>
          </w:tcPr>
          <w:p w14:paraId="23F35BDB">
            <w:pPr>
              <w:spacing w:line="360" w:lineRule="auto"/>
              <w:jc w:val="right"/>
            </w:pPr>
            <w:r>
              <w:rPr>
                <w:rFonts w:hint="eastAsia"/>
              </w:rPr>
              <w:t>万元</w:t>
            </w:r>
          </w:p>
        </w:tc>
      </w:tr>
      <w:tr w14:paraId="2D903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0706DE64">
            <w:pPr>
              <w:spacing w:line="360" w:lineRule="auto"/>
            </w:pPr>
          </w:p>
        </w:tc>
        <w:tc>
          <w:tcPr>
            <w:tcW w:w="945" w:type="dxa"/>
            <w:vMerge w:val="restart"/>
          </w:tcPr>
          <w:p w14:paraId="2D8E5EF2">
            <w:pPr>
              <w:spacing w:line="360" w:lineRule="auto"/>
              <w:jc w:val="center"/>
            </w:pPr>
            <w:r>
              <w:rPr>
                <w:rFonts w:hint="eastAsia"/>
              </w:rPr>
              <w:t>固定</w:t>
            </w:r>
          </w:p>
          <w:p w14:paraId="49DD41BB">
            <w:pPr>
              <w:spacing w:line="360" w:lineRule="auto"/>
              <w:jc w:val="center"/>
            </w:pPr>
            <w:r>
              <w:rPr>
                <w:rFonts w:hint="eastAsia"/>
              </w:rPr>
              <w:t>资产</w:t>
            </w:r>
          </w:p>
        </w:tc>
        <w:tc>
          <w:tcPr>
            <w:tcW w:w="2415" w:type="dxa"/>
            <w:gridSpan w:val="4"/>
          </w:tcPr>
          <w:p w14:paraId="482F7847">
            <w:pPr>
              <w:spacing w:line="360" w:lineRule="auto"/>
            </w:pPr>
            <w:r>
              <w:rPr>
                <w:rFonts w:hint="eastAsia"/>
              </w:rPr>
              <w:t>原值</w:t>
            </w:r>
            <w:r>
              <w:t xml:space="preserve">             </w:t>
            </w:r>
            <w:r>
              <w:rPr>
                <w:rFonts w:hint="eastAsia"/>
              </w:rPr>
              <w:t>万元</w:t>
            </w:r>
          </w:p>
        </w:tc>
        <w:tc>
          <w:tcPr>
            <w:tcW w:w="840" w:type="dxa"/>
            <w:vMerge w:val="restart"/>
          </w:tcPr>
          <w:p w14:paraId="6026115C">
            <w:pPr>
              <w:spacing w:line="360" w:lineRule="auto"/>
            </w:pPr>
            <w:r>
              <w:rPr>
                <w:rFonts w:hint="eastAsia"/>
              </w:rPr>
              <w:t>资金</w:t>
            </w:r>
          </w:p>
          <w:p w14:paraId="2F74E0E5">
            <w:pPr>
              <w:spacing w:line="360" w:lineRule="auto"/>
            </w:pPr>
            <w:r>
              <w:rPr>
                <w:rFonts w:hint="eastAsia"/>
              </w:rPr>
              <w:t>性质</w:t>
            </w:r>
          </w:p>
        </w:tc>
        <w:tc>
          <w:tcPr>
            <w:tcW w:w="1575" w:type="dxa"/>
            <w:gridSpan w:val="3"/>
          </w:tcPr>
          <w:p w14:paraId="31E48F4D">
            <w:pPr>
              <w:spacing w:line="360" w:lineRule="auto"/>
            </w:pPr>
            <w:r>
              <w:rPr>
                <w:rFonts w:hint="eastAsia"/>
              </w:rPr>
              <w:t>生产性</w:t>
            </w:r>
          </w:p>
        </w:tc>
        <w:tc>
          <w:tcPr>
            <w:tcW w:w="2100" w:type="dxa"/>
          </w:tcPr>
          <w:p w14:paraId="285A5C35">
            <w:pPr>
              <w:spacing w:line="360" w:lineRule="auto"/>
              <w:jc w:val="right"/>
            </w:pPr>
            <w:r>
              <w:rPr>
                <w:rFonts w:hint="eastAsia"/>
              </w:rPr>
              <w:t>万元</w:t>
            </w:r>
          </w:p>
        </w:tc>
      </w:tr>
      <w:tr w14:paraId="43D7C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0FD80E51">
            <w:pPr>
              <w:spacing w:line="360" w:lineRule="auto"/>
            </w:pPr>
          </w:p>
        </w:tc>
        <w:tc>
          <w:tcPr>
            <w:tcW w:w="945" w:type="dxa"/>
            <w:vMerge w:val="continue"/>
            <w:tcBorders>
              <w:bottom w:val="nil"/>
            </w:tcBorders>
          </w:tcPr>
          <w:p w14:paraId="6EA9FC42">
            <w:pPr>
              <w:spacing w:line="360" w:lineRule="auto"/>
              <w:jc w:val="center"/>
            </w:pPr>
          </w:p>
        </w:tc>
        <w:tc>
          <w:tcPr>
            <w:tcW w:w="2415" w:type="dxa"/>
            <w:gridSpan w:val="4"/>
            <w:tcBorders>
              <w:bottom w:val="nil"/>
            </w:tcBorders>
          </w:tcPr>
          <w:p w14:paraId="0A3F7115">
            <w:pPr>
              <w:spacing w:line="360" w:lineRule="auto"/>
            </w:pPr>
            <w:r>
              <w:rPr>
                <w:rFonts w:hint="eastAsia"/>
              </w:rPr>
              <w:t>净值</w:t>
            </w:r>
            <w:r>
              <w:t xml:space="preserve">             </w:t>
            </w:r>
            <w:r>
              <w:rPr>
                <w:rFonts w:hint="eastAsia"/>
              </w:rPr>
              <w:t>万元</w:t>
            </w:r>
          </w:p>
        </w:tc>
        <w:tc>
          <w:tcPr>
            <w:tcW w:w="840" w:type="dxa"/>
            <w:vMerge w:val="continue"/>
            <w:tcBorders>
              <w:bottom w:val="nil"/>
            </w:tcBorders>
          </w:tcPr>
          <w:p w14:paraId="3EE1E4E8">
            <w:pPr>
              <w:spacing w:line="360" w:lineRule="auto"/>
            </w:pPr>
          </w:p>
        </w:tc>
        <w:tc>
          <w:tcPr>
            <w:tcW w:w="1575" w:type="dxa"/>
            <w:gridSpan w:val="3"/>
            <w:tcBorders>
              <w:bottom w:val="nil"/>
            </w:tcBorders>
          </w:tcPr>
          <w:p w14:paraId="7B176D8C">
            <w:pPr>
              <w:spacing w:line="360" w:lineRule="auto"/>
            </w:pPr>
            <w:r>
              <w:rPr>
                <w:rFonts w:hint="eastAsia"/>
              </w:rPr>
              <w:t>非生产性</w:t>
            </w:r>
          </w:p>
        </w:tc>
        <w:tc>
          <w:tcPr>
            <w:tcW w:w="2100" w:type="dxa"/>
            <w:tcBorders>
              <w:bottom w:val="nil"/>
            </w:tcBorders>
          </w:tcPr>
          <w:p w14:paraId="4CD288D2">
            <w:pPr>
              <w:spacing w:line="360" w:lineRule="auto"/>
              <w:jc w:val="right"/>
            </w:pPr>
            <w:r>
              <w:rPr>
                <w:rFonts w:hint="eastAsia"/>
              </w:rPr>
              <w:t>万元</w:t>
            </w:r>
          </w:p>
        </w:tc>
      </w:tr>
      <w:tr w14:paraId="46D2D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492B71B5">
            <w:pPr>
              <w:pBdr>
                <w:top w:val="single" w:color="auto" w:sz="6" w:space="1"/>
              </w:pBdr>
              <w:spacing w:line="360" w:lineRule="atLeast"/>
              <w:jc w:val="center"/>
            </w:pPr>
          </w:p>
          <w:p w14:paraId="22B60B64">
            <w:pPr>
              <w:pBdr>
                <w:top w:val="single" w:color="auto" w:sz="6" w:space="1"/>
              </w:pBdr>
              <w:spacing w:line="360" w:lineRule="atLeast"/>
              <w:jc w:val="center"/>
            </w:pPr>
            <w:r>
              <w:rPr>
                <w:rFonts w:hint="eastAsia"/>
              </w:rPr>
              <w:t xml:space="preserve">企业财    </w:t>
            </w:r>
          </w:p>
          <w:p w14:paraId="3CDFBE9D">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6EA06B38">
            <w:pPr>
              <w:spacing w:line="360" w:lineRule="atLeast"/>
              <w:jc w:val="center"/>
            </w:pPr>
          </w:p>
        </w:tc>
        <w:tc>
          <w:tcPr>
            <w:tcW w:w="1155" w:type="dxa"/>
            <w:gridSpan w:val="2"/>
          </w:tcPr>
          <w:p w14:paraId="1B3E298C">
            <w:pPr>
              <w:spacing w:line="360" w:lineRule="atLeast"/>
              <w:jc w:val="center"/>
            </w:pPr>
            <w:r>
              <w:rPr>
                <w:rFonts w:hint="eastAsia"/>
              </w:rPr>
              <w:t>收入总额</w:t>
            </w:r>
          </w:p>
        </w:tc>
        <w:tc>
          <w:tcPr>
            <w:tcW w:w="2100" w:type="dxa"/>
            <w:gridSpan w:val="3"/>
          </w:tcPr>
          <w:p w14:paraId="3ACCB068">
            <w:pPr>
              <w:spacing w:line="360" w:lineRule="atLeast"/>
              <w:jc w:val="center"/>
            </w:pPr>
            <w:r>
              <w:rPr>
                <w:rFonts w:hint="eastAsia"/>
              </w:rPr>
              <w:t>利润总额</w:t>
            </w:r>
          </w:p>
        </w:tc>
        <w:tc>
          <w:tcPr>
            <w:tcW w:w="1575" w:type="dxa"/>
            <w:gridSpan w:val="3"/>
          </w:tcPr>
          <w:p w14:paraId="599869BC">
            <w:pPr>
              <w:spacing w:line="360" w:lineRule="atLeast"/>
              <w:jc w:val="center"/>
            </w:pPr>
            <w:r>
              <w:rPr>
                <w:rFonts w:hint="eastAsia"/>
              </w:rPr>
              <w:t>税后利润</w:t>
            </w:r>
          </w:p>
        </w:tc>
        <w:tc>
          <w:tcPr>
            <w:tcW w:w="2100" w:type="dxa"/>
          </w:tcPr>
          <w:p w14:paraId="471D36F9">
            <w:pPr>
              <w:spacing w:line="360" w:lineRule="atLeast"/>
              <w:jc w:val="center"/>
            </w:pPr>
            <w:r>
              <w:rPr>
                <w:rFonts w:hint="eastAsia"/>
              </w:rPr>
              <w:t>负债总额</w:t>
            </w:r>
          </w:p>
        </w:tc>
      </w:tr>
      <w:tr w14:paraId="09495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22269D15">
            <w:pPr>
              <w:spacing w:line="360" w:lineRule="auto"/>
            </w:pPr>
          </w:p>
        </w:tc>
        <w:tc>
          <w:tcPr>
            <w:tcW w:w="945" w:type="dxa"/>
            <w:tcBorders>
              <w:top w:val="single" w:color="000000" w:sz="6" w:space="0"/>
              <w:left w:val="single" w:color="000000" w:sz="6" w:space="0"/>
            </w:tcBorders>
          </w:tcPr>
          <w:p w14:paraId="3E64EB52">
            <w:pPr>
              <w:spacing w:line="360" w:lineRule="auto"/>
              <w:jc w:val="center"/>
            </w:pPr>
            <w:r>
              <w:rPr>
                <w:rFonts w:hint="eastAsia"/>
              </w:rPr>
              <w:t>2022年</w:t>
            </w:r>
          </w:p>
        </w:tc>
        <w:tc>
          <w:tcPr>
            <w:tcW w:w="1155" w:type="dxa"/>
            <w:gridSpan w:val="2"/>
          </w:tcPr>
          <w:p w14:paraId="40A48793">
            <w:pPr>
              <w:spacing w:line="360" w:lineRule="auto"/>
            </w:pPr>
          </w:p>
        </w:tc>
        <w:tc>
          <w:tcPr>
            <w:tcW w:w="2100" w:type="dxa"/>
            <w:gridSpan w:val="3"/>
          </w:tcPr>
          <w:p w14:paraId="02F1E3A1">
            <w:pPr>
              <w:spacing w:line="360" w:lineRule="auto"/>
            </w:pPr>
          </w:p>
        </w:tc>
        <w:tc>
          <w:tcPr>
            <w:tcW w:w="1575" w:type="dxa"/>
            <w:gridSpan w:val="3"/>
          </w:tcPr>
          <w:p w14:paraId="14B64712">
            <w:pPr>
              <w:spacing w:line="360" w:lineRule="auto"/>
            </w:pPr>
          </w:p>
        </w:tc>
        <w:tc>
          <w:tcPr>
            <w:tcW w:w="2100" w:type="dxa"/>
          </w:tcPr>
          <w:p w14:paraId="2FD13E22">
            <w:pPr>
              <w:spacing w:line="360" w:lineRule="auto"/>
            </w:pPr>
          </w:p>
        </w:tc>
      </w:tr>
      <w:tr w14:paraId="33A76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5DD4D82D">
            <w:pPr>
              <w:spacing w:line="360" w:lineRule="auto"/>
            </w:pPr>
          </w:p>
        </w:tc>
        <w:tc>
          <w:tcPr>
            <w:tcW w:w="945" w:type="dxa"/>
            <w:tcBorders>
              <w:bottom w:val="single" w:color="000000" w:sz="6" w:space="0"/>
            </w:tcBorders>
          </w:tcPr>
          <w:p w14:paraId="49762099">
            <w:pPr>
              <w:spacing w:line="360" w:lineRule="auto"/>
              <w:jc w:val="center"/>
            </w:pPr>
            <w:r>
              <w:rPr>
                <w:rFonts w:hint="eastAsia"/>
              </w:rPr>
              <w:t>2023年</w:t>
            </w:r>
          </w:p>
        </w:tc>
        <w:tc>
          <w:tcPr>
            <w:tcW w:w="1155" w:type="dxa"/>
            <w:gridSpan w:val="2"/>
            <w:tcBorders>
              <w:bottom w:val="single" w:color="000000" w:sz="6" w:space="0"/>
            </w:tcBorders>
          </w:tcPr>
          <w:p w14:paraId="53CD56C9">
            <w:pPr>
              <w:spacing w:line="360" w:lineRule="auto"/>
            </w:pPr>
          </w:p>
        </w:tc>
        <w:tc>
          <w:tcPr>
            <w:tcW w:w="2100" w:type="dxa"/>
            <w:gridSpan w:val="3"/>
            <w:tcBorders>
              <w:bottom w:val="single" w:color="000000" w:sz="6" w:space="0"/>
            </w:tcBorders>
          </w:tcPr>
          <w:p w14:paraId="0787489F">
            <w:pPr>
              <w:spacing w:line="360" w:lineRule="auto"/>
            </w:pPr>
          </w:p>
        </w:tc>
        <w:tc>
          <w:tcPr>
            <w:tcW w:w="1575" w:type="dxa"/>
            <w:gridSpan w:val="3"/>
            <w:tcBorders>
              <w:bottom w:val="single" w:color="000000" w:sz="6" w:space="0"/>
            </w:tcBorders>
          </w:tcPr>
          <w:p w14:paraId="6BF9A8F1">
            <w:pPr>
              <w:spacing w:line="360" w:lineRule="auto"/>
            </w:pPr>
          </w:p>
        </w:tc>
        <w:tc>
          <w:tcPr>
            <w:tcW w:w="2100" w:type="dxa"/>
            <w:tcBorders>
              <w:bottom w:val="single" w:color="000000" w:sz="6" w:space="0"/>
            </w:tcBorders>
          </w:tcPr>
          <w:p w14:paraId="63D313B2">
            <w:pPr>
              <w:spacing w:line="360" w:lineRule="auto"/>
            </w:pPr>
          </w:p>
        </w:tc>
      </w:tr>
      <w:tr w14:paraId="03745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3937BE80">
            <w:pPr>
              <w:spacing w:line="360" w:lineRule="auto"/>
            </w:pPr>
          </w:p>
        </w:tc>
        <w:tc>
          <w:tcPr>
            <w:tcW w:w="945" w:type="dxa"/>
            <w:tcBorders>
              <w:bottom w:val="single" w:color="000000" w:sz="6" w:space="0"/>
            </w:tcBorders>
          </w:tcPr>
          <w:p w14:paraId="2A941349">
            <w:pPr>
              <w:spacing w:line="360" w:lineRule="auto"/>
              <w:jc w:val="center"/>
            </w:pPr>
            <w:r>
              <w:rPr>
                <w:rFonts w:hint="eastAsia"/>
              </w:rPr>
              <w:t>20</w:t>
            </w:r>
            <w:r>
              <w:t>2</w:t>
            </w:r>
            <w:r>
              <w:rPr>
                <w:rFonts w:hint="eastAsia"/>
              </w:rPr>
              <w:t>4年</w:t>
            </w:r>
          </w:p>
        </w:tc>
        <w:tc>
          <w:tcPr>
            <w:tcW w:w="1155" w:type="dxa"/>
            <w:gridSpan w:val="2"/>
            <w:tcBorders>
              <w:bottom w:val="single" w:color="000000" w:sz="6" w:space="0"/>
            </w:tcBorders>
          </w:tcPr>
          <w:p w14:paraId="0DB4A8BF">
            <w:pPr>
              <w:spacing w:line="360" w:lineRule="auto"/>
            </w:pPr>
          </w:p>
        </w:tc>
        <w:tc>
          <w:tcPr>
            <w:tcW w:w="2100" w:type="dxa"/>
            <w:gridSpan w:val="3"/>
            <w:tcBorders>
              <w:bottom w:val="single" w:color="000000" w:sz="6" w:space="0"/>
            </w:tcBorders>
          </w:tcPr>
          <w:p w14:paraId="66BA56F7">
            <w:pPr>
              <w:spacing w:line="360" w:lineRule="auto"/>
            </w:pPr>
          </w:p>
        </w:tc>
        <w:tc>
          <w:tcPr>
            <w:tcW w:w="1575" w:type="dxa"/>
            <w:gridSpan w:val="3"/>
            <w:tcBorders>
              <w:bottom w:val="single" w:color="000000" w:sz="6" w:space="0"/>
            </w:tcBorders>
          </w:tcPr>
          <w:p w14:paraId="15A728AF">
            <w:pPr>
              <w:spacing w:line="360" w:lineRule="auto"/>
            </w:pPr>
          </w:p>
        </w:tc>
        <w:tc>
          <w:tcPr>
            <w:tcW w:w="2100" w:type="dxa"/>
            <w:tcBorders>
              <w:bottom w:val="single" w:color="000000" w:sz="6" w:space="0"/>
            </w:tcBorders>
          </w:tcPr>
          <w:p w14:paraId="48D08B14">
            <w:pPr>
              <w:spacing w:line="360" w:lineRule="auto"/>
            </w:pPr>
          </w:p>
        </w:tc>
      </w:tr>
    </w:tbl>
    <w:p w14:paraId="227BA8F0">
      <w:pPr>
        <w:pStyle w:val="45"/>
        <w:ind w:firstLine="420"/>
        <w:rPr>
          <w:rFonts w:hint="default"/>
        </w:rPr>
      </w:pPr>
    </w:p>
    <w:p w14:paraId="7D0CC877">
      <w:pPr>
        <w:spacing w:line="600" w:lineRule="exact"/>
        <w:jc w:val="left"/>
        <w:rPr>
          <w:sz w:val="24"/>
        </w:rPr>
      </w:pPr>
    </w:p>
    <w:p w14:paraId="6E736FCB">
      <w:pPr>
        <w:spacing w:line="600" w:lineRule="exact"/>
        <w:jc w:val="left"/>
        <w:rPr>
          <w:rFonts w:ascii="宋体"/>
          <w:sz w:val="24"/>
        </w:rPr>
      </w:pPr>
    </w:p>
    <w:p w14:paraId="5D94B49B">
      <w:pPr>
        <w:spacing w:line="600" w:lineRule="exact"/>
        <w:jc w:val="left"/>
        <w:rPr>
          <w:rFonts w:ascii="宋体"/>
          <w:b/>
          <w:sz w:val="28"/>
          <w:szCs w:val="28"/>
        </w:rPr>
      </w:pPr>
    </w:p>
    <w:p w14:paraId="2CE193DF">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64F2ABA0">
      <w:pPr>
        <w:spacing w:after="240" w:afterLines="100"/>
        <w:jc w:val="center"/>
        <w:rPr>
          <w:rFonts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3071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4CAEFC41">
            <w:pPr>
              <w:snapToGrid w:val="0"/>
              <w:spacing w:line="240" w:lineRule="auto"/>
              <w:jc w:val="center"/>
              <w:rPr>
                <w:rFonts w:ascii="宋体" w:hAnsi="宋体"/>
                <w:b/>
              </w:rPr>
            </w:pPr>
            <w:r>
              <w:rPr>
                <w:rFonts w:ascii="宋体" w:hAnsi="宋体"/>
                <w:b/>
              </w:rPr>
              <w:t>姓名</w:t>
            </w:r>
          </w:p>
        </w:tc>
        <w:tc>
          <w:tcPr>
            <w:tcW w:w="992" w:type="dxa"/>
            <w:vAlign w:val="center"/>
          </w:tcPr>
          <w:p w14:paraId="70102F5D">
            <w:pPr>
              <w:snapToGrid w:val="0"/>
              <w:spacing w:line="240" w:lineRule="auto"/>
              <w:jc w:val="center"/>
              <w:rPr>
                <w:rFonts w:ascii="宋体" w:hAnsi="宋体"/>
                <w:b/>
              </w:rPr>
            </w:pPr>
            <w:r>
              <w:rPr>
                <w:rFonts w:hint="eastAsia" w:ascii="宋体" w:hAnsi="宋体"/>
                <w:b/>
              </w:rPr>
              <w:t>部门</w:t>
            </w:r>
          </w:p>
        </w:tc>
        <w:tc>
          <w:tcPr>
            <w:tcW w:w="1276" w:type="dxa"/>
            <w:vAlign w:val="center"/>
          </w:tcPr>
          <w:p w14:paraId="37F5F640">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71F4CBA4">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57353CFA">
            <w:pPr>
              <w:snapToGrid w:val="0"/>
              <w:spacing w:line="240" w:lineRule="auto"/>
              <w:jc w:val="center"/>
              <w:rPr>
                <w:rFonts w:ascii="宋体" w:hAnsi="宋体"/>
                <w:b/>
              </w:rPr>
            </w:pPr>
            <w:r>
              <w:rPr>
                <w:rFonts w:hint="eastAsia" w:ascii="宋体" w:hAnsi="宋体"/>
                <w:b/>
              </w:rPr>
              <w:t>人员情况简介</w:t>
            </w:r>
          </w:p>
        </w:tc>
      </w:tr>
      <w:tr w14:paraId="1256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7DFDD5B8">
            <w:pPr>
              <w:rPr>
                <w:rFonts w:ascii="宋体" w:hAnsi="宋体"/>
              </w:rPr>
            </w:pPr>
          </w:p>
        </w:tc>
        <w:tc>
          <w:tcPr>
            <w:tcW w:w="992" w:type="dxa"/>
            <w:vAlign w:val="center"/>
          </w:tcPr>
          <w:p w14:paraId="0DFCEE81">
            <w:pPr>
              <w:rPr>
                <w:rFonts w:ascii="宋体" w:hAnsi="宋体"/>
              </w:rPr>
            </w:pPr>
          </w:p>
        </w:tc>
        <w:tc>
          <w:tcPr>
            <w:tcW w:w="1276" w:type="dxa"/>
            <w:vAlign w:val="center"/>
          </w:tcPr>
          <w:p w14:paraId="3B568BAD">
            <w:pPr>
              <w:rPr>
                <w:rFonts w:ascii="宋体" w:hAnsi="宋体"/>
              </w:rPr>
            </w:pPr>
          </w:p>
        </w:tc>
        <w:tc>
          <w:tcPr>
            <w:tcW w:w="1842" w:type="dxa"/>
            <w:vAlign w:val="center"/>
          </w:tcPr>
          <w:p w14:paraId="02394A43">
            <w:pPr>
              <w:rPr>
                <w:rFonts w:ascii="宋体" w:hAnsi="宋体"/>
              </w:rPr>
            </w:pPr>
          </w:p>
        </w:tc>
        <w:tc>
          <w:tcPr>
            <w:tcW w:w="2880" w:type="dxa"/>
            <w:vAlign w:val="center"/>
          </w:tcPr>
          <w:p w14:paraId="6AE29AB8">
            <w:pPr>
              <w:rPr>
                <w:rFonts w:ascii="宋体" w:hAnsi="宋体"/>
              </w:rPr>
            </w:pPr>
          </w:p>
        </w:tc>
      </w:tr>
      <w:tr w14:paraId="1A3D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8FC4B7D">
            <w:pPr>
              <w:rPr>
                <w:rFonts w:ascii="宋体" w:hAnsi="宋体"/>
              </w:rPr>
            </w:pPr>
          </w:p>
        </w:tc>
        <w:tc>
          <w:tcPr>
            <w:tcW w:w="992" w:type="dxa"/>
            <w:tcBorders>
              <w:bottom w:val="single" w:color="auto" w:sz="4" w:space="0"/>
            </w:tcBorders>
            <w:vAlign w:val="center"/>
          </w:tcPr>
          <w:p w14:paraId="21E8AD10">
            <w:pPr>
              <w:rPr>
                <w:rFonts w:ascii="宋体" w:hAnsi="宋体"/>
              </w:rPr>
            </w:pPr>
          </w:p>
        </w:tc>
        <w:tc>
          <w:tcPr>
            <w:tcW w:w="1276" w:type="dxa"/>
            <w:tcBorders>
              <w:bottom w:val="single" w:color="auto" w:sz="4" w:space="0"/>
            </w:tcBorders>
            <w:vAlign w:val="center"/>
          </w:tcPr>
          <w:p w14:paraId="7644108E">
            <w:pPr>
              <w:rPr>
                <w:rFonts w:ascii="宋体" w:hAnsi="宋体"/>
              </w:rPr>
            </w:pPr>
          </w:p>
        </w:tc>
        <w:tc>
          <w:tcPr>
            <w:tcW w:w="1842" w:type="dxa"/>
            <w:tcBorders>
              <w:bottom w:val="single" w:color="auto" w:sz="4" w:space="0"/>
            </w:tcBorders>
            <w:vAlign w:val="center"/>
          </w:tcPr>
          <w:p w14:paraId="2C3C1E4F">
            <w:pPr>
              <w:rPr>
                <w:rFonts w:ascii="宋体" w:hAnsi="宋体"/>
              </w:rPr>
            </w:pPr>
          </w:p>
        </w:tc>
        <w:tc>
          <w:tcPr>
            <w:tcW w:w="2880" w:type="dxa"/>
            <w:tcBorders>
              <w:bottom w:val="single" w:color="auto" w:sz="4" w:space="0"/>
            </w:tcBorders>
            <w:vAlign w:val="center"/>
          </w:tcPr>
          <w:p w14:paraId="196386F5">
            <w:pPr>
              <w:rPr>
                <w:rFonts w:ascii="宋体" w:hAnsi="宋体"/>
              </w:rPr>
            </w:pPr>
          </w:p>
        </w:tc>
      </w:tr>
      <w:tr w14:paraId="0E8C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4E997F8">
            <w:pPr>
              <w:rPr>
                <w:rFonts w:ascii="宋体" w:hAnsi="宋体"/>
              </w:rPr>
            </w:pPr>
          </w:p>
        </w:tc>
        <w:tc>
          <w:tcPr>
            <w:tcW w:w="992" w:type="dxa"/>
            <w:tcBorders>
              <w:bottom w:val="single" w:color="auto" w:sz="4" w:space="0"/>
            </w:tcBorders>
            <w:vAlign w:val="center"/>
          </w:tcPr>
          <w:p w14:paraId="0077D220">
            <w:pPr>
              <w:rPr>
                <w:rFonts w:ascii="宋体" w:hAnsi="宋体"/>
              </w:rPr>
            </w:pPr>
          </w:p>
        </w:tc>
        <w:tc>
          <w:tcPr>
            <w:tcW w:w="1276" w:type="dxa"/>
            <w:tcBorders>
              <w:bottom w:val="single" w:color="auto" w:sz="4" w:space="0"/>
            </w:tcBorders>
            <w:vAlign w:val="center"/>
          </w:tcPr>
          <w:p w14:paraId="0FC4BE9D">
            <w:pPr>
              <w:rPr>
                <w:rFonts w:ascii="宋体" w:hAnsi="宋体"/>
              </w:rPr>
            </w:pPr>
          </w:p>
        </w:tc>
        <w:tc>
          <w:tcPr>
            <w:tcW w:w="1842" w:type="dxa"/>
            <w:tcBorders>
              <w:bottom w:val="single" w:color="auto" w:sz="4" w:space="0"/>
            </w:tcBorders>
            <w:vAlign w:val="center"/>
          </w:tcPr>
          <w:p w14:paraId="09D14E3A">
            <w:pPr>
              <w:rPr>
                <w:rFonts w:ascii="宋体" w:hAnsi="宋体"/>
              </w:rPr>
            </w:pPr>
          </w:p>
        </w:tc>
        <w:tc>
          <w:tcPr>
            <w:tcW w:w="2880" w:type="dxa"/>
            <w:tcBorders>
              <w:bottom w:val="single" w:color="auto" w:sz="4" w:space="0"/>
            </w:tcBorders>
            <w:vAlign w:val="center"/>
          </w:tcPr>
          <w:p w14:paraId="3DB2C719">
            <w:pPr>
              <w:rPr>
                <w:rFonts w:ascii="宋体" w:hAnsi="宋体"/>
              </w:rPr>
            </w:pPr>
          </w:p>
        </w:tc>
      </w:tr>
      <w:tr w14:paraId="7BB9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C68A972">
            <w:pPr>
              <w:rPr>
                <w:rFonts w:ascii="宋体" w:hAnsi="宋体"/>
              </w:rPr>
            </w:pPr>
          </w:p>
        </w:tc>
        <w:tc>
          <w:tcPr>
            <w:tcW w:w="992" w:type="dxa"/>
            <w:tcBorders>
              <w:bottom w:val="single" w:color="auto" w:sz="4" w:space="0"/>
            </w:tcBorders>
            <w:vAlign w:val="center"/>
          </w:tcPr>
          <w:p w14:paraId="66394A5C">
            <w:pPr>
              <w:rPr>
                <w:rFonts w:ascii="宋体" w:hAnsi="宋体"/>
              </w:rPr>
            </w:pPr>
          </w:p>
        </w:tc>
        <w:tc>
          <w:tcPr>
            <w:tcW w:w="1276" w:type="dxa"/>
            <w:tcBorders>
              <w:bottom w:val="single" w:color="auto" w:sz="4" w:space="0"/>
            </w:tcBorders>
            <w:vAlign w:val="center"/>
          </w:tcPr>
          <w:p w14:paraId="3EE6A45B">
            <w:pPr>
              <w:rPr>
                <w:rFonts w:ascii="宋体" w:hAnsi="宋体"/>
              </w:rPr>
            </w:pPr>
          </w:p>
        </w:tc>
        <w:tc>
          <w:tcPr>
            <w:tcW w:w="1842" w:type="dxa"/>
            <w:tcBorders>
              <w:bottom w:val="single" w:color="auto" w:sz="4" w:space="0"/>
            </w:tcBorders>
            <w:vAlign w:val="center"/>
          </w:tcPr>
          <w:p w14:paraId="313C1758">
            <w:pPr>
              <w:rPr>
                <w:rFonts w:ascii="宋体" w:hAnsi="宋体"/>
              </w:rPr>
            </w:pPr>
          </w:p>
        </w:tc>
        <w:tc>
          <w:tcPr>
            <w:tcW w:w="2880" w:type="dxa"/>
            <w:tcBorders>
              <w:bottom w:val="single" w:color="auto" w:sz="4" w:space="0"/>
            </w:tcBorders>
            <w:vAlign w:val="center"/>
          </w:tcPr>
          <w:p w14:paraId="69584E1A">
            <w:pPr>
              <w:rPr>
                <w:rFonts w:ascii="宋体" w:hAnsi="宋体"/>
              </w:rPr>
            </w:pPr>
          </w:p>
        </w:tc>
      </w:tr>
      <w:tr w14:paraId="0980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0AC23189">
            <w:pPr>
              <w:rPr>
                <w:rFonts w:ascii="宋体" w:hAnsi="宋体"/>
              </w:rPr>
            </w:pPr>
          </w:p>
        </w:tc>
        <w:tc>
          <w:tcPr>
            <w:tcW w:w="992" w:type="dxa"/>
            <w:tcBorders>
              <w:bottom w:val="single" w:color="auto" w:sz="4" w:space="0"/>
            </w:tcBorders>
            <w:vAlign w:val="center"/>
          </w:tcPr>
          <w:p w14:paraId="56F2FE5B">
            <w:pPr>
              <w:rPr>
                <w:rFonts w:ascii="宋体" w:hAnsi="宋体"/>
              </w:rPr>
            </w:pPr>
          </w:p>
        </w:tc>
        <w:tc>
          <w:tcPr>
            <w:tcW w:w="1276" w:type="dxa"/>
            <w:tcBorders>
              <w:bottom w:val="single" w:color="auto" w:sz="4" w:space="0"/>
            </w:tcBorders>
            <w:vAlign w:val="center"/>
          </w:tcPr>
          <w:p w14:paraId="4314BBA1">
            <w:pPr>
              <w:rPr>
                <w:rFonts w:ascii="宋体" w:hAnsi="宋体"/>
              </w:rPr>
            </w:pPr>
          </w:p>
        </w:tc>
        <w:tc>
          <w:tcPr>
            <w:tcW w:w="1842" w:type="dxa"/>
            <w:tcBorders>
              <w:bottom w:val="single" w:color="auto" w:sz="4" w:space="0"/>
            </w:tcBorders>
            <w:vAlign w:val="center"/>
          </w:tcPr>
          <w:p w14:paraId="0D6EEFC6">
            <w:pPr>
              <w:rPr>
                <w:rFonts w:ascii="宋体" w:hAnsi="宋体"/>
              </w:rPr>
            </w:pPr>
          </w:p>
        </w:tc>
        <w:tc>
          <w:tcPr>
            <w:tcW w:w="2880" w:type="dxa"/>
            <w:tcBorders>
              <w:bottom w:val="single" w:color="auto" w:sz="4" w:space="0"/>
            </w:tcBorders>
            <w:vAlign w:val="center"/>
          </w:tcPr>
          <w:p w14:paraId="73F14210">
            <w:pPr>
              <w:rPr>
                <w:rFonts w:ascii="宋体" w:hAnsi="宋体"/>
              </w:rPr>
            </w:pPr>
          </w:p>
        </w:tc>
      </w:tr>
      <w:tr w14:paraId="3779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B805BC2">
            <w:pPr>
              <w:rPr>
                <w:rFonts w:ascii="宋体" w:hAnsi="宋体"/>
              </w:rPr>
            </w:pPr>
          </w:p>
        </w:tc>
        <w:tc>
          <w:tcPr>
            <w:tcW w:w="992" w:type="dxa"/>
            <w:tcBorders>
              <w:bottom w:val="single" w:color="auto" w:sz="4" w:space="0"/>
            </w:tcBorders>
            <w:vAlign w:val="center"/>
          </w:tcPr>
          <w:p w14:paraId="264CD1E2">
            <w:pPr>
              <w:rPr>
                <w:rFonts w:ascii="宋体" w:hAnsi="宋体"/>
              </w:rPr>
            </w:pPr>
          </w:p>
        </w:tc>
        <w:tc>
          <w:tcPr>
            <w:tcW w:w="1276" w:type="dxa"/>
            <w:tcBorders>
              <w:bottom w:val="single" w:color="auto" w:sz="4" w:space="0"/>
            </w:tcBorders>
            <w:vAlign w:val="center"/>
          </w:tcPr>
          <w:p w14:paraId="6C1C8B9D">
            <w:pPr>
              <w:rPr>
                <w:rFonts w:ascii="宋体" w:hAnsi="宋体"/>
              </w:rPr>
            </w:pPr>
          </w:p>
        </w:tc>
        <w:tc>
          <w:tcPr>
            <w:tcW w:w="1842" w:type="dxa"/>
            <w:tcBorders>
              <w:bottom w:val="single" w:color="auto" w:sz="4" w:space="0"/>
            </w:tcBorders>
            <w:vAlign w:val="center"/>
          </w:tcPr>
          <w:p w14:paraId="1E24EEF0">
            <w:pPr>
              <w:rPr>
                <w:rFonts w:ascii="宋体" w:hAnsi="宋体"/>
              </w:rPr>
            </w:pPr>
          </w:p>
        </w:tc>
        <w:tc>
          <w:tcPr>
            <w:tcW w:w="2880" w:type="dxa"/>
            <w:tcBorders>
              <w:bottom w:val="single" w:color="auto" w:sz="4" w:space="0"/>
            </w:tcBorders>
            <w:vAlign w:val="center"/>
          </w:tcPr>
          <w:p w14:paraId="09EF2C0E">
            <w:pPr>
              <w:rPr>
                <w:rFonts w:ascii="宋体" w:hAnsi="宋体"/>
              </w:rPr>
            </w:pPr>
          </w:p>
        </w:tc>
      </w:tr>
      <w:tr w14:paraId="15F0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585793BB">
            <w:pPr>
              <w:rPr>
                <w:rFonts w:ascii="宋体" w:hAnsi="宋体"/>
              </w:rPr>
            </w:pPr>
          </w:p>
        </w:tc>
        <w:tc>
          <w:tcPr>
            <w:tcW w:w="992" w:type="dxa"/>
            <w:tcBorders>
              <w:bottom w:val="single" w:color="auto" w:sz="4" w:space="0"/>
            </w:tcBorders>
            <w:vAlign w:val="center"/>
          </w:tcPr>
          <w:p w14:paraId="32CB4DBE">
            <w:pPr>
              <w:rPr>
                <w:rFonts w:ascii="宋体" w:hAnsi="宋体"/>
              </w:rPr>
            </w:pPr>
          </w:p>
        </w:tc>
        <w:tc>
          <w:tcPr>
            <w:tcW w:w="1276" w:type="dxa"/>
            <w:tcBorders>
              <w:bottom w:val="single" w:color="auto" w:sz="4" w:space="0"/>
            </w:tcBorders>
            <w:vAlign w:val="center"/>
          </w:tcPr>
          <w:p w14:paraId="3C723F93">
            <w:pPr>
              <w:rPr>
                <w:rFonts w:ascii="宋体" w:hAnsi="宋体"/>
              </w:rPr>
            </w:pPr>
          </w:p>
        </w:tc>
        <w:tc>
          <w:tcPr>
            <w:tcW w:w="1842" w:type="dxa"/>
            <w:tcBorders>
              <w:bottom w:val="single" w:color="auto" w:sz="4" w:space="0"/>
            </w:tcBorders>
            <w:vAlign w:val="center"/>
          </w:tcPr>
          <w:p w14:paraId="05FDC42C">
            <w:pPr>
              <w:rPr>
                <w:rFonts w:ascii="宋体" w:hAnsi="宋体"/>
              </w:rPr>
            </w:pPr>
          </w:p>
        </w:tc>
        <w:tc>
          <w:tcPr>
            <w:tcW w:w="2880" w:type="dxa"/>
            <w:tcBorders>
              <w:bottom w:val="single" w:color="auto" w:sz="4" w:space="0"/>
            </w:tcBorders>
            <w:vAlign w:val="center"/>
          </w:tcPr>
          <w:p w14:paraId="735B7052">
            <w:pPr>
              <w:rPr>
                <w:rFonts w:ascii="宋体" w:hAnsi="宋体"/>
              </w:rPr>
            </w:pPr>
          </w:p>
        </w:tc>
      </w:tr>
      <w:tr w14:paraId="7368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940309B">
            <w:pPr>
              <w:rPr>
                <w:rFonts w:ascii="宋体" w:hAnsi="宋体"/>
              </w:rPr>
            </w:pPr>
          </w:p>
        </w:tc>
        <w:tc>
          <w:tcPr>
            <w:tcW w:w="992" w:type="dxa"/>
            <w:tcBorders>
              <w:bottom w:val="single" w:color="auto" w:sz="4" w:space="0"/>
            </w:tcBorders>
            <w:vAlign w:val="center"/>
          </w:tcPr>
          <w:p w14:paraId="0E959FF3">
            <w:pPr>
              <w:rPr>
                <w:rFonts w:ascii="宋体" w:hAnsi="宋体"/>
              </w:rPr>
            </w:pPr>
          </w:p>
        </w:tc>
        <w:tc>
          <w:tcPr>
            <w:tcW w:w="1276" w:type="dxa"/>
            <w:tcBorders>
              <w:bottom w:val="single" w:color="auto" w:sz="4" w:space="0"/>
            </w:tcBorders>
            <w:vAlign w:val="center"/>
          </w:tcPr>
          <w:p w14:paraId="1D25E780">
            <w:pPr>
              <w:rPr>
                <w:rFonts w:ascii="宋体" w:hAnsi="宋体"/>
              </w:rPr>
            </w:pPr>
          </w:p>
        </w:tc>
        <w:tc>
          <w:tcPr>
            <w:tcW w:w="1842" w:type="dxa"/>
            <w:tcBorders>
              <w:bottom w:val="single" w:color="auto" w:sz="4" w:space="0"/>
            </w:tcBorders>
            <w:vAlign w:val="center"/>
          </w:tcPr>
          <w:p w14:paraId="522ED225">
            <w:pPr>
              <w:rPr>
                <w:rFonts w:ascii="宋体" w:hAnsi="宋体"/>
              </w:rPr>
            </w:pPr>
          </w:p>
        </w:tc>
        <w:tc>
          <w:tcPr>
            <w:tcW w:w="2880" w:type="dxa"/>
            <w:tcBorders>
              <w:bottom w:val="single" w:color="auto" w:sz="4" w:space="0"/>
            </w:tcBorders>
            <w:vAlign w:val="center"/>
          </w:tcPr>
          <w:p w14:paraId="6940BB91">
            <w:pPr>
              <w:rPr>
                <w:rFonts w:ascii="宋体" w:hAnsi="宋体"/>
              </w:rPr>
            </w:pPr>
          </w:p>
        </w:tc>
      </w:tr>
      <w:tr w14:paraId="3B01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0EDA2A7A">
            <w:pPr>
              <w:rPr>
                <w:rFonts w:ascii="宋体" w:hAnsi="宋体"/>
              </w:rPr>
            </w:pPr>
          </w:p>
        </w:tc>
        <w:tc>
          <w:tcPr>
            <w:tcW w:w="992" w:type="dxa"/>
            <w:tcBorders>
              <w:bottom w:val="single" w:color="auto" w:sz="4" w:space="0"/>
            </w:tcBorders>
            <w:vAlign w:val="center"/>
          </w:tcPr>
          <w:p w14:paraId="629C4955">
            <w:pPr>
              <w:rPr>
                <w:rFonts w:ascii="宋体" w:hAnsi="宋体"/>
              </w:rPr>
            </w:pPr>
          </w:p>
        </w:tc>
        <w:tc>
          <w:tcPr>
            <w:tcW w:w="1276" w:type="dxa"/>
            <w:tcBorders>
              <w:bottom w:val="single" w:color="auto" w:sz="4" w:space="0"/>
            </w:tcBorders>
            <w:vAlign w:val="center"/>
          </w:tcPr>
          <w:p w14:paraId="20B638DE">
            <w:pPr>
              <w:rPr>
                <w:rFonts w:ascii="宋体" w:hAnsi="宋体"/>
              </w:rPr>
            </w:pPr>
          </w:p>
        </w:tc>
        <w:tc>
          <w:tcPr>
            <w:tcW w:w="1842" w:type="dxa"/>
            <w:tcBorders>
              <w:bottom w:val="single" w:color="auto" w:sz="4" w:space="0"/>
            </w:tcBorders>
            <w:vAlign w:val="center"/>
          </w:tcPr>
          <w:p w14:paraId="09B06136">
            <w:pPr>
              <w:rPr>
                <w:rFonts w:ascii="宋体" w:hAnsi="宋体"/>
              </w:rPr>
            </w:pPr>
          </w:p>
        </w:tc>
        <w:tc>
          <w:tcPr>
            <w:tcW w:w="2880" w:type="dxa"/>
            <w:tcBorders>
              <w:bottom w:val="single" w:color="auto" w:sz="4" w:space="0"/>
            </w:tcBorders>
            <w:vAlign w:val="center"/>
          </w:tcPr>
          <w:p w14:paraId="4E8E0FCF">
            <w:pPr>
              <w:rPr>
                <w:rFonts w:ascii="宋体" w:hAnsi="宋体"/>
              </w:rPr>
            </w:pPr>
          </w:p>
        </w:tc>
      </w:tr>
      <w:tr w14:paraId="13F1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F8F3A75">
            <w:pPr>
              <w:rPr>
                <w:rFonts w:ascii="宋体" w:hAnsi="宋体"/>
              </w:rPr>
            </w:pPr>
          </w:p>
        </w:tc>
        <w:tc>
          <w:tcPr>
            <w:tcW w:w="992" w:type="dxa"/>
            <w:tcBorders>
              <w:bottom w:val="single" w:color="auto" w:sz="4" w:space="0"/>
            </w:tcBorders>
            <w:vAlign w:val="center"/>
          </w:tcPr>
          <w:p w14:paraId="74C268F3">
            <w:pPr>
              <w:rPr>
                <w:rFonts w:ascii="宋体" w:hAnsi="宋体"/>
              </w:rPr>
            </w:pPr>
          </w:p>
        </w:tc>
        <w:tc>
          <w:tcPr>
            <w:tcW w:w="1276" w:type="dxa"/>
            <w:tcBorders>
              <w:bottom w:val="single" w:color="auto" w:sz="4" w:space="0"/>
            </w:tcBorders>
            <w:vAlign w:val="center"/>
          </w:tcPr>
          <w:p w14:paraId="6141394C">
            <w:pPr>
              <w:rPr>
                <w:rFonts w:ascii="宋体" w:hAnsi="宋体"/>
              </w:rPr>
            </w:pPr>
          </w:p>
        </w:tc>
        <w:tc>
          <w:tcPr>
            <w:tcW w:w="1842" w:type="dxa"/>
            <w:tcBorders>
              <w:bottom w:val="single" w:color="auto" w:sz="4" w:space="0"/>
            </w:tcBorders>
            <w:vAlign w:val="center"/>
          </w:tcPr>
          <w:p w14:paraId="1E3FFEBD">
            <w:pPr>
              <w:rPr>
                <w:rFonts w:ascii="宋体" w:hAnsi="宋体"/>
              </w:rPr>
            </w:pPr>
          </w:p>
        </w:tc>
        <w:tc>
          <w:tcPr>
            <w:tcW w:w="2880" w:type="dxa"/>
            <w:tcBorders>
              <w:bottom w:val="single" w:color="auto" w:sz="4" w:space="0"/>
            </w:tcBorders>
            <w:vAlign w:val="center"/>
          </w:tcPr>
          <w:p w14:paraId="181C623E">
            <w:pPr>
              <w:rPr>
                <w:rFonts w:ascii="宋体" w:hAnsi="宋体"/>
              </w:rPr>
            </w:pPr>
          </w:p>
        </w:tc>
      </w:tr>
      <w:tr w14:paraId="3B51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3883311A">
            <w:pPr>
              <w:rPr>
                <w:rFonts w:ascii="宋体" w:hAnsi="宋体"/>
              </w:rPr>
            </w:pPr>
          </w:p>
        </w:tc>
        <w:tc>
          <w:tcPr>
            <w:tcW w:w="992" w:type="dxa"/>
            <w:vAlign w:val="center"/>
          </w:tcPr>
          <w:p w14:paraId="1BFF7C1A">
            <w:pPr>
              <w:rPr>
                <w:rFonts w:ascii="宋体" w:hAnsi="宋体"/>
              </w:rPr>
            </w:pPr>
          </w:p>
        </w:tc>
        <w:tc>
          <w:tcPr>
            <w:tcW w:w="1276" w:type="dxa"/>
            <w:vAlign w:val="center"/>
          </w:tcPr>
          <w:p w14:paraId="3348BA20">
            <w:pPr>
              <w:rPr>
                <w:rFonts w:ascii="宋体" w:hAnsi="宋体"/>
              </w:rPr>
            </w:pPr>
          </w:p>
        </w:tc>
        <w:tc>
          <w:tcPr>
            <w:tcW w:w="1842" w:type="dxa"/>
            <w:vAlign w:val="center"/>
          </w:tcPr>
          <w:p w14:paraId="08193ED0">
            <w:pPr>
              <w:rPr>
                <w:rFonts w:ascii="宋体" w:hAnsi="宋体"/>
              </w:rPr>
            </w:pPr>
          </w:p>
        </w:tc>
        <w:tc>
          <w:tcPr>
            <w:tcW w:w="2880" w:type="dxa"/>
            <w:vAlign w:val="center"/>
          </w:tcPr>
          <w:p w14:paraId="4B8B553A">
            <w:pPr>
              <w:rPr>
                <w:rFonts w:ascii="宋体" w:hAnsi="宋体"/>
              </w:rPr>
            </w:pPr>
          </w:p>
        </w:tc>
      </w:tr>
    </w:tbl>
    <w:p w14:paraId="404BFCCC">
      <w:pPr>
        <w:widowControl/>
        <w:spacing w:line="240" w:lineRule="auto"/>
        <w:ind w:left="743" w:leftChars="354" w:firstLine="105" w:firstLineChars="50"/>
        <w:rPr>
          <w:rFonts w:ascii="宋体" w:hAnsi="宋体"/>
          <w:bCs/>
        </w:rPr>
      </w:pPr>
    </w:p>
    <w:p w14:paraId="3E2DEA03">
      <w:pPr>
        <w:widowControl/>
        <w:spacing w:line="240" w:lineRule="auto"/>
        <w:ind w:left="743" w:leftChars="354" w:firstLine="105" w:firstLineChars="50"/>
        <w:rPr>
          <w:rFonts w:ascii="宋体" w:hAnsi="宋体"/>
          <w:bCs/>
        </w:rPr>
      </w:pPr>
    </w:p>
    <w:p w14:paraId="02774F02">
      <w:pPr>
        <w:widowControl/>
        <w:spacing w:line="240" w:lineRule="auto"/>
        <w:ind w:left="743" w:leftChars="354" w:firstLine="105" w:firstLineChars="50"/>
        <w:rPr>
          <w:rFonts w:ascii="宋体" w:hAnsi="宋体"/>
          <w:bCs/>
        </w:rPr>
      </w:pPr>
    </w:p>
    <w:p w14:paraId="361EB201">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529FA5A2">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51A21D74">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5350D0AB">
      <w:pPr>
        <w:spacing w:line="600" w:lineRule="exact"/>
        <w:jc w:val="left"/>
        <w:rPr>
          <w:rFonts w:ascii="宋体"/>
          <w:sz w:val="24"/>
        </w:rPr>
      </w:pPr>
    </w:p>
    <w:p w14:paraId="5E620EAE">
      <w:pPr>
        <w:spacing w:line="360" w:lineRule="atLeast"/>
        <w:jc w:val="left"/>
        <w:outlineLvl w:val="0"/>
        <w:rPr>
          <w:rFonts w:ascii="宋体"/>
          <w:sz w:val="24"/>
        </w:rPr>
      </w:pPr>
      <w:r>
        <w:rPr>
          <w:b/>
          <w:sz w:val="28"/>
        </w:rPr>
        <w:br w:type="page"/>
      </w:r>
      <w:r>
        <w:rPr>
          <w:rFonts w:hint="eastAsia" w:ascii="宋体"/>
          <w:sz w:val="24"/>
        </w:rPr>
        <w:t>附件八</w:t>
      </w:r>
    </w:p>
    <w:p w14:paraId="72DA0BE4">
      <w:pPr>
        <w:spacing w:before="120" w:line="360" w:lineRule="atLeast"/>
        <w:jc w:val="center"/>
        <w:rPr>
          <w:rFonts w:ascii="宋体" w:hAnsi="宋体"/>
          <w:b/>
          <w:sz w:val="30"/>
          <w:szCs w:val="30"/>
        </w:rPr>
      </w:pPr>
      <w:r>
        <w:rPr>
          <w:rFonts w:hint="eastAsia" w:ascii="宋体" w:hAnsi="宋体"/>
          <w:b/>
          <w:sz w:val="30"/>
          <w:szCs w:val="30"/>
        </w:rPr>
        <w:t>合同条款承诺函</w:t>
      </w:r>
    </w:p>
    <w:p w14:paraId="32070C23">
      <w:pPr>
        <w:spacing w:before="120" w:beforeLines="50" w:line="460" w:lineRule="exact"/>
        <w:jc w:val="left"/>
        <w:rPr>
          <w:rFonts w:ascii="宋体" w:hAnsi="宋体"/>
          <w:b/>
          <w:sz w:val="30"/>
          <w:szCs w:val="30"/>
        </w:rPr>
      </w:pPr>
    </w:p>
    <w:p w14:paraId="53695A2E">
      <w:pPr>
        <w:rPr>
          <w:rFonts w:hAnsi="宋体"/>
          <w:sz w:val="24"/>
          <w:szCs w:val="24"/>
        </w:rPr>
      </w:pPr>
    </w:p>
    <w:p w14:paraId="0BB56AC9">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49CE4CDA">
      <w:pPr>
        <w:spacing w:line="400" w:lineRule="exact"/>
        <w:rPr>
          <w:rFonts w:hAnsi="宋体"/>
          <w:sz w:val="24"/>
          <w:szCs w:val="24"/>
        </w:rPr>
      </w:pPr>
      <w:r>
        <w:rPr>
          <w:rFonts w:hint="eastAsia" w:hAnsi="宋体"/>
          <w:sz w:val="24"/>
          <w:szCs w:val="24"/>
        </w:rPr>
        <w:t>特此承诺。</w:t>
      </w:r>
    </w:p>
    <w:p w14:paraId="0A672B01">
      <w:pPr>
        <w:spacing w:line="400" w:lineRule="exact"/>
        <w:rPr>
          <w:rFonts w:hAnsi="宋体"/>
          <w:sz w:val="24"/>
          <w:szCs w:val="24"/>
        </w:rPr>
      </w:pPr>
    </w:p>
    <w:p w14:paraId="32E976BE">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417D2566">
      <w:pPr>
        <w:rPr>
          <w:rFonts w:hAnsi="宋体"/>
          <w:sz w:val="24"/>
          <w:szCs w:val="24"/>
        </w:rPr>
      </w:pPr>
    </w:p>
    <w:p w14:paraId="791093BE">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0C00CA20">
      <w:pPr>
        <w:rPr>
          <w:rFonts w:hAnsi="宋体"/>
          <w:sz w:val="24"/>
          <w:szCs w:val="24"/>
        </w:rPr>
      </w:pPr>
    </w:p>
    <w:p w14:paraId="1556E8E5">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423166AB"/>
    <w:p w14:paraId="7C3C80EA">
      <w:pPr>
        <w:pStyle w:val="45"/>
        <w:ind w:firstLine="420"/>
        <w:jc w:val="center"/>
        <w:rPr>
          <w:rFonts w:hint="default"/>
        </w:rPr>
      </w:pPr>
    </w:p>
    <w:p w14:paraId="382A8632">
      <w:pPr>
        <w:spacing w:line="400" w:lineRule="atLeast"/>
        <w:rPr>
          <w:rFonts w:ascii="宋体"/>
          <w:b/>
          <w:sz w:val="28"/>
        </w:rPr>
      </w:pPr>
    </w:p>
    <w:p w14:paraId="526B094D">
      <w:pPr>
        <w:spacing w:line="400" w:lineRule="atLeast"/>
        <w:rPr>
          <w:rFonts w:ascii="宋体"/>
          <w:b/>
          <w:sz w:val="28"/>
        </w:rPr>
      </w:pPr>
    </w:p>
    <w:p w14:paraId="6F50A058">
      <w:pPr>
        <w:spacing w:line="400" w:lineRule="atLeast"/>
        <w:rPr>
          <w:rFonts w:ascii="宋体"/>
          <w:b/>
          <w:sz w:val="28"/>
        </w:rPr>
      </w:pPr>
    </w:p>
    <w:p w14:paraId="032433DA">
      <w:pPr>
        <w:spacing w:line="400" w:lineRule="atLeast"/>
        <w:rPr>
          <w:rFonts w:ascii="宋体"/>
          <w:b/>
          <w:sz w:val="28"/>
        </w:rPr>
      </w:pPr>
    </w:p>
    <w:p w14:paraId="1EE5EA9E">
      <w:pPr>
        <w:spacing w:line="400" w:lineRule="atLeast"/>
        <w:rPr>
          <w:rFonts w:ascii="宋体"/>
          <w:b/>
          <w:sz w:val="28"/>
        </w:rPr>
      </w:pPr>
    </w:p>
    <w:p w14:paraId="7566809F">
      <w:pPr>
        <w:spacing w:line="400" w:lineRule="atLeast"/>
        <w:rPr>
          <w:rFonts w:ascii="宋体"/>
          <w:b/>
          <w:sz w:val="28"/>
        </w:rPr>
      </w:pPr>
    </w:p>
    <w:p w14:paraId="786140B4">
      <w:pPr>
        <w:spacing w:line="400" w:lineRule="atLeast"/>
        <w:rPr>
          <w:rFonts w:ascii="宋体"/>
          <w:b/>
          <w:sz w:val="28"/>
        </w:rPr>
      </w:pPr>
    </w:p>
    <w:p w14:paraId="45FC3DCA">
      <w:pPr>
        <w:spacing w:line="400" w:lineRule="atLeast"/>
        <w:rPr>
          <w:rFonts w:ascii="宋体"/>
          <w:b/>
          <w:sz w:val="28"/>
        </w:rPr>
      </w:pPr>
    </w:p>
    <w:p w14:paraId="78DB46B8">
      <w:pPr>
        <w:spacing w:line="400" w:lineRule="atLeast"/>
        <w:rPr>
          <w:rFonts w:ascii="宋体"/>
          <w:b/>
          <w:sz w:val="28"/>
        </w:rPr>
      </w:pPr>
    </w:p>
    <w:p w14:paraId="0F3506F8">
      <w:pPr>
        <w:spacing w:line="400" w:lineRule="atLeast"/>
        <w:rPr>
          <w:rFonts w:ascii="宋体"/>
          <w:b/>
          <w:sz w:val="28"/>
        </w:rPr>
      </w:pPr>
    </w:p>
    <w:p w14:paraId="005910F8">
      <w:pPr>
        <w:spacing w:line="400" w:lineRule="atLeast"/>
        <w:rPr>
          <w:rFonts w:ascii="宋体"/>
          <w:b/>
          <w:sz w:val="28"/>
        </w:rPr>
      </w:pPr>
    </w:p>
    <w:p w14:paraId="73ECA866">
      <w:pPr>
        <w:spacing w:line="400" w:lineRule="atLeast"/>
        <w:rPr>
          <w:rFonts w:ascii="宋体"/>
          <w:b/>
          <w:sz w:val="28"/>
        </w:rPr>
      </w:pPr>
    </w:p>
    <w:p w14:paraId="590534A2">
      <w:pPr>
        <w:spacing w:line="400" w:lineRule="atLeast"/>
        <w:rPr>
          <w:rFonts w:ascii="宋体"/>
          <w:b/>
          <w:sz w:val="28"/>
        </w:rPr>
      </w:pPr>
    </w:p>
    <w:p w14:paraId="37C12283">
      <w:pPr>
        <w:spacing w:line="400" w:lineRule="atLeast"/>
        <w:rPr>
          <w:rFonts w:ascii="宋体"/>
          <w:b/>
          <w:sz w:val="28"/>
        </w:rPr>
      </w:pPr>
    </w:p>
    <w:p w14:paraId="0755D881">
      <w:pPr>
        <w:spacing w:line="400" w:lineRule="atLeast"/>
        <w:rPr>
          <w:rFonts w:ascii="宋体"/>
          <w:b/>
          <w:sz w:val="28"/>
        </w:rPr>
      </w:pPr>
    </w:p>
    <w:p w14:paraId="035F8956">
      <w:pPr>
        <w:spacing w:line="400" w:lineRule="atLeast"/>
        <w:rPr>
          <w:rFonts w:ascii="宋体"/>
          <w:b/>
          <w:sz w:val="28"/>
        </w:rPr>
      </w:pPr>
    </w:p>
    <w:p w14:paraId="03244BC3">
      <w:pPr>
        <w:spacing w:line="400" w:lineRule="atLeast"/>
        <w:rPr>
          <w:rFonts w:ascii="宋体"/>
          <w:b/>
          <w:sz w:val="28"/>
        </w:rPr>
      </w:pPr>
    </w:p>
    <w:p w14:paraId="227B2F10">
      <w:pPr>
        <w:spacing w:line="400" w:lineRule="atLeast"/>
        <w:rPr>
          <w:rFonts w:ascii="宋体"/>
          <w:b/>
          <w:sz w:val="28"/>
        </w:rPr>
      </w:pPr>
    </w:p>
    <w:p w14:paraId="6AC94DA2">
      <w:pPr>
        <w:spacing w:line="400" w:lineRule="atLeast"/>
        <w:rPr>
          <w:rFonts w:ascii="宋体"/>
          <w:b/>
          <w:sz w:val="28"/>
        </w:rPr>
      </w:pPr>
    </w:p>
    <w:p w14:paraId="47B42202">
      <w:pPr>
        <w:spacing w:line="400" w:lineRule="atLeast"/>
        <w:rPr>
          <w:rFonts w:ascii="宋体"/>
          <w:b/>
          <w:sz w:val="28"/>
        </w:rPr>
      </w:pPr>
    </w:p>
    <w:p w14:paraId="64897EC4">
      <w:pPr>
        <w:spacing w:line="400" w:lineRule="atLeast"/>
        <w:rPr>
          <w:rFonts w:ascii="宋体"/>
          <w:bCs/>
          <w:sz w:val="24"/>
          <w:szCs w:val="24"/>
        </w:rPr>
      </w:pPr>
      <w:r>
        <w:rPr>
          <w:rFonts w:hint="eastAsia" w:ascii="宋体"/>
          <w:bCs/>
          <w:sz w:val="24"/>
          <w:szCs w:val="24"/>
        </w:rPr>
        <w:t>附件九</w:t>
      </w:r>
    </w:p>
    <w:p w14:paraId="09D10F74">
      <w:pPr>
        <w:spacing w:after="240" w:afterLines="100"/>
        <w:jc w:val="center"/>
        <w:rPr>
          <w:rFonts w:ascii="宋体" w:hAnsi="宋体"/>
          <w:b/>
          <w:bCs/>
          <w:sz w:val="28"/>
          <w:szCs w:val="28"/>
        </w:rPr>
      </w:pPr>
      <w:r>
        <w:rPr>
          <w:rFonts w:hint="eastAsia" w:ascii="宋体" w:hAnsi="宋体"/>
          <w:b/>
          <w:bCs/>
          <w:sz w:val="28"/>
          <w:szCs w:val="28"/>
        </w:rPr>
        <w:t>服务条款应答表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472"/>
        <w:gridCol w:w="2247"/>
        <w:gridCol w:w="1253"/>
      </w:tblGrid>
      <w:tr w14:paraId="0319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134" w:type="dxa"/>
            <w:vAlign w:val="center"/>
          </w:tcPr>
          <w:p w14:paraId="344A9E59">
            <w:pPr>
              <w:spacing w:line="360" w:lineRule="exact"/>
              <w:jc w:val="center"/>
              <w:rPr>
                <w:rFonts w:ascii="宋体" w:hAnsi="宋体"/>
                <w:b/>
                <w:bCs/>
                <w:sz w:val="24"/>
              </w:rPr>
            </w:pPr>
            <w:r>
              <w:rPr>
                <w:rFonts w:hint="eastAsia" w:ascii="宋体" w:hAnsi="宋体"/>
                <w:b/>
                <w:bCs/>
                <w:sz w:val="24"/>
              </w:rPr>
              <w:t>条款号</w:t>
            </w:r>
          </w:p>
        </w:tc>
        <w:tc>
          <w:tcPr>
            <w:tcW w:w="4472" w:type="dxa"/>
            <w:vAlign w:val="center"/>
          </w:tcPr>
          <w:p w14:paraId="2DA98191">
            <w:pPr>
              <w:spacing w:line="360" w:lineRule="exact"/>
              <w:jc w:val="center"/>
              <w:rPr>
                <w:rFonts w:ascii="宋体" w:hAnsi="宋体"/>
                <w:b/>
                <w:bCs/>
                <w:sz w:val="24"/>
              </w:rPr>
            </w:pPr>
            <w:r>
              <w:rPr>
                <w:rFonts w:hint="eastAsia" w:ascii="宋体" w:hAnsi="宋体"/>
                <w:b/>
                <w:sz w:val="24"/>
                <w:szCs w:val="24"/>
              </w:rPr>
              <w:t>采购文件条款要求</w:t>
            </w:r>
          </w:p>
        </w:tc>
        <w:tc>
          <w:tcPr>
            <w:tcW w:w="2247" w:type="dxa"/>
            <w:vAlign w:val="center"/>
          </w:tcPr>
          <w:p w14:paraId="5ADC6B38">
            <w:pPr>
              <w:spacing w:before="120" w:line="400" w:lineRule="exact"/>
              <w:jc w:val="center"/>
              <w:rPr>
                <w:rFonts w:ascii="宋体" w:hAnsi="宋体"/>
                <w:b/>
                <w:bCs/>
                <w:sz w:val="24"/>
              </w:rPr>
            </w:pPr>
            <w:r>
              <w:rPr>
                <w:rFonts w:hint="eastAsia"/>
                <w:b/>
                <w:sz w:val="24"/>
              </w:rPr>
              <w:t>投标说明</w:t>
            </w:r>
          </w:p>
        </w:tc>
        <w:tc>
          <w:tcPr>
            <w:tcW w:w="1253" w:type="dxa"/>
            <w:vAlign w:val="center"/>
          </w:tcPr>
          <w:p w14:paraId="550A317D">
            <w:pPr>
              <w:spacing w:line="360" w:lineRule="exact"/>
              <w:jc w:val="center"/>
              <w:rPr>
                <w:rFonts w:ascii="宋体" w:hAnsi="宋体"/>
                <w:b/>
                <w:sz w:val="24"/>
              </w:rPr>
            </w:pPr>
            <w:r>
              <w:rPr>
                <w:rFonts w:hint="eastAsia" w:ascii="宋体" w:hAnsi="宋体"/>
                <w:b/>
                <w:sz w:val="24"/>
              </w:rPr>
              <w:t>是否偏离</w:t>
            </w:r>
          </w:p>
        </w:tc>
      </w:tr>
      <w:tr w14:paraId="6D0A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134" w:type="dxa"/>
          </w:tcPr>
          <w:p w14:paraId="7FEC4224">
            <w:pPr>
              <w:spacing w:before="120" w:after="120" w:line="400" w:lineRule="exact"/>
              <w:jc w:val="center"/>
              <w:rPr>
                <w:rFonts w:ascii="宋体" w:hAnsi="宋体" w:cs="宋体"/>
                <w:sz w:val="28"/>
                <w:szCs w:val="28"/>
              </w:rPr>
            </w:pPr>
            <w:r>
              <w:rPr>
                <w:rFonts w:hint="eastAsia" w:ascii="宋体" w:hAnsi="宋体" w:cs="宋体"/>
                <w:sz w:val="28"/>
                <w:szCs w:val="28"/>
              </w:rPr>
              <w:t>1</w:t>
            </w:r>
          </w:p>
        </w:tc>
        <w:tc>
          <w:tcPr>
            <w:tcW w:w="4472" w:type="dxa"/>
          </w:tcPr>
          <w:p w14:paraId="25B26C79">
            <w:pPr>
              <w:widowControl/>
              <w:jc w:val="left"/>
              <w:rPr>
                <w:rFonts w:ascii="宋体" w:hAnsi="宋体" w:cs="宋体"/>
                <w:sz w:val="24"/>
                <w:szCs w:val="24"/>
              </w:rPr>
            </w:pPr>
            <w:r>
              <w:rPr>
                <w:rFonts w:hint="eastAsia" w:ascii="宋体" w:hAnsi="宋体" w:cs="宋体"/>
                <w:sz w:val="24"/>
                <w:szCs w:val="24"/>
              </w:rPr>
              <w:t>精密空调系统定期巡检与保养:月度巡检（每月至少1次）</w:t>
            </w:r>
          </w:p>
          <w:p w14:paraId="48F81F12">
            <w:pPr>
              <w:widowControl/>
              <w:jc w:val="left"/>
              <w:rPr>
                <w:rFonts w:ascii="宋体" w:hAnsi="宋体" w:cs="宋体"/>
                <w:sz w:val="24"/>
                <w:szCs w:val="24"/>
              </w:rPr>
            </w:pPr>
            <w:r>
              <w:rPr>
                <w:rFonts w:hint="eastAsia" w:ascii="宋体" w:hAnsi="宋体" w:cs="宋体"/>
                <w:sz w:val="24"/>
                <w:szCs w:val="24"/>
              </w:rPr>
              <w:t>设备状态检查：查看空调室内外机运行噪音、振动情况，检查压缩机、风机、加湿器等核心部件运行状态，确认无异常发热、渗漏；</w:t>
            </w:r>
          </w:p>
          <w:p w14:paraId="71CCC975">
            <w:pPr>
              <w:widowControl/>
              <w:jc w:val="left"/>
              <w:rPr>
                <w:rFonts w:ascii="宋体" w:hAnsi="宋体" w:cs="宋体"/>
                <w:sz w:val="24"/>
                <w:szCs w:val="24"/>
              </w:rPr>
            </w:pPr>
            <w:r>
              <w:rPr>
                <w:rFonts w:hint="eastAsia" w:ascii="宋体" w:hAnsi="宋体" w:cs="宋体"/>
                <w:sz w:val="24"/>
                <w:szCs w:val="24"/>
              </w:rPr>
              <w:t>参数校准：使用专业设备检测机房温湿度，对比空调显示数据，校准温湿度传感器，确保控制精度偏差不超过 ±1℃/±5%；</w:t>
            </w:r>
          </w:p>
          <w:p w14:paraId="58597820">
            <w:pPr>
              <w:widowControl/>
              <w:jc w:val="left"/>
              <w:rPr>
                <w:rFonts w:ascii="宋体" w:hAnsi="宋体" w:cs="宋体"/>
                <w:sz w:val="24"/>
                <w:szCs w:val="24"/>
              </w:rPr>
            </w:pPr>
            <w:r>
              <w:rPr>
                <w:rFonts w:hint="eastAsia" w:ascii="宋体" w:hAnsi="宋体" w:cs="宋体"/>
                <w:sz w:val="24"/>
                <w:szCs w:val="24"/>
              </w:rPr>
              <w:t>基础清洁：清洗空调滤网、蒸发器翅片，清理室外机散热片杂物，避免因堵塞影响制冷效率；</w:t>
            </w:r>
          </w:p>
          <w:p w14:paraId="7B624FBE">
            <w:pPr>
              <w:widowControl/>
              <w:jc w:val="left"/>
              <w:rPr>
                <w:rFonts w:ascii="宋体" w:hAnsi="宋体" w:cs="宋体"/>
                <w:sz w:val="24"/>
                <w:szCs w:val="24"/>
              </w:rPr>
            </w:pPr>
            <w:r>
              <w:rPr>
                <w:rFonts w:hint="eastAsia" w:ascii="宋体" w:hAnsi="宋体" w:cs="宋体"/>
                <w:sz w:val="24"/>
                <w:szCs w:val="24"/>
              </w:rPr>
              <w:t>数据记录：记录空调运行参数（如出风口温度、工作电流、制冷剂压力），更新《设备运维台账》。</w:t>
            </w:r>
          </w:p>
          <w:p w14:paraId="059A305A">
            <w:pPr>
              <w:widowControl/>
              <w:jc w:val="left"/>
              <w:rPr>
                <w:rFonts w:ascii="宋体" w:hAnsi="宋体" w:cs="宋体"/>
                <w:sz w:val="24"/>
                <w:szCs w:val="24"/>
              </w:rPr>
            </w:pPr>
            <w:r>
              <w:rPr>
                <w:rFonts w:hint="eastAsia" w:ascii="宋体" w:hAnsi="宋体" w:cs="宋体"/>
                <w:sz w:val="24"/>
                <w:szCs w:val="24"/>
              </w:rPr>
              <w:t>每季度保养（每3个月至少1次）</w:t>
            </w:r>
          </w:p>
          <w:p w14:paraId="073D97C8">
            <w:pPr>
              <w:widowControl/>
              <w:jc w:val="left"/>
              <w:rPr>
                <w:rFonts w:ascii="宋体" w:hAnsi="宋体" w:cs="宋体"/>
                <w:sz w:val="24"/>
                <w:szCs w:val="24"/>
              </w:rPr>
            </w:pPr>
            <w:r>
              <w:rPr>
                <w:rFonts w:hint="eastAsia" w:ascii="宋体" w:hAnsi="宋体" w:cs="宋体"/>
                <w:sz w:val="24"/>
                <w:szCs w:val="24"/>
              </w:rPr>
              <w:t>部件深度检查：拆解检查空调电气接线端子，紧固松动接头，检测绝缘电阻；检查加湿器电极、水位传感器，更换老化的水位探针或滤芯；</w:t>
            </w:r>
          </w:p>
          <w:p w14:paraId="60F49824">
            <w:pPr>
              <w:widowControl/>
              <w:jc w:val="left"/>
              <w:rPr>
                <w:rFonts w:ascii="宋体" w:hAnsi="宋体" w:cs="宋体"/>
                <w:sz w:val="24"/>
                <w:szCs w:val="24"/>
              </w:rPr>
            </w:pPr>
            <w:r>
              <w:rPr>
                <w:rFonts w:hint="eastAsia" w:ascii="宋体" w:hAnsi="宋体" w:cs="宋体"/>
                <w:sz w:val="24"/>
                <w:szCs w:val="24"/>
              </w:rPr>
              <w:t>制冷剂维护：检测制冷剂管路密封性，补充泄漏点，按需添加适配制冷剂（科华、维迪品牌专用型号），确保压力符合设备标准；</w:t>
            </w:r>
          </w:p>
          <w:p w14:paraId="227D77AB">
            <w:pPr>
              <w:widowControl/>
              <w:jc w:val="left"/>
              <w:rPr>
                <w:rFonts w:ascii="宋体" w:hAnsi="宋体" w:cs="宋体"/>
                <w:sz w:val="24"/>
                <w:szCs w:val="24"/>
              </w:rPr>
            </w:pPr>
            <w:r>
              <w:rPr>
                <w:rFonts w:hint="eastAsia" w:ascii="宋体" w:hAnsi="宋体" w:cs="宋体"/>
                <w:sz w:val="24"/>
                <w:szCs w:val="24"/>
              </w:rPr>
              <w:t>风机维护：清洁风机轴承，添加专用润滑油，检查风机皮带松紧度，更换老化皮带。</w:t>
            </w:r>
          </w:p>
          <w:p w14:paraId="4264A5C0">
            <w:pPr>
              <w:widowControl/>
              <w:jc w:val="left"/>
              <w:rPr>
                <w:rFonts w:ascii="宋体" w:hAnsi="宋体" w:cs="宋体"/>
                <w:sz w:val="24"/>
                <w:szCs w:val="24"/>
              </w:rPr>
            </w:pPr>
            <w:r>
              <w:rPr>
                <w:rFonts w:hint="eastAsia" w:ascii="宋体" w:hAnsi="宋体" w:cs="宋体"/>
                <w:sz w:val="24"/>
                <w:szCs w:val="24"/>
              </w:rPr>
              <w:t>半年度全检（每年至少2次）</w:t>
            </w:r>
          </w:p>
          <w:p w14:paraId="2A378D4B">
            <w:pPr>
              <w:widowControl/>
              <w:jc w:val="left"/>
              <w:rPr>
                <w:rFonts w:ascii="宋体" w:hAnsi="宋体" w:cs="宋体"/>
                <w:sz w:val="24"/>
                <w:szCs w:val="24"/>
              </w:rPr>
            </w:pPr>
            <w:r>
              <w:rPr>
                <w:rFonts w:hint="eastAsia" w:ascii="宋体" w:hAnsi="宋体" w:cs="宋体"/>
                <w:sz w:val="24"/>
                <w:szCs w:val="24"/>
              </w:rPr>
              <w:t>系统性能测试：模拟机房高负荷场景，测试空调制冷量、除湿 / 加湿能力，确保满足机房散热与湿度调节需求；</w:t>
            </w:r>
          </w:p>
          <w:p w14:paraId="30344838">
            <w:pPr>
              <w:widowControl/>
              <w:jc w:val="left"/>
              <w:rPr>
                <w:rFonts w:ascii="宋体" w:hAnsi="宋体" w:cs="宋体"/>
                <w:sz w:val="24"/>
                <w:szCs w:val="24"/>
              </w:rPr>
            </w:pPr>
            <w:r>
              <w:rPr>
                <w:rFonts w:hint="eastAsia" w:ascii="宋体" w:hAnsi="宋体" w:cs="宋体"/>
                <w:sz w:val="24"/>
                <w:szCs w:val="24"/>
              </w:rPr>
              <w:t>部件寿命评估：对运行超 5 年的压缩机、电容等关键部件进行性能检测，出具寿命评估报告，提出更换建议；</w:t>
            </w:r>
          </w:p>
          <w:p w14:paraId="60C35B3E">
            <w:pPr>
              <w:widowControl/>
              <w:jc w:val="left"/>
              <w:rPr>
                <w:rFonts w:ascii="宋体" w:hAnsi="宋体"/>
                <w:szCs w:val="21"/>
              </w:rPr>
            </w:pPr>
            <w:r>
              <w:rPr>
                <w:rFonts w:hint="eastAsia" w:ascii="宋体" w:hAnsi="宋体" w:cs="宋体"/>
                <w:sz w:val="24"/>
                <w:szCs w:val="24"/>
              </w:rPr>
              <w:t>系统优化：根据全年运行数据，调整空调运行模式（如夏季制冷优先级、冬季节能策略），提升运行效率。</w:t>
            </w:r>
          </w:p>
        </w:tc>
        <w:tc>
          <w:tcPr>
            <w:tcW w:w="2247" w:type="dxa"/>
          </w:tcPr>
          <w:p w14:paraId="41903DA1">
            <w:pPr>
              <w:spacing w:before="120" w:after="120" w:line="400" w:lineRule="exact"/>
              <w:jc w:val="center"/>
              <w:rPr>
                <w:rFonts w:ascii="宋体" w:hAnsi="宋体"/>
                <w:szCs w:val="21"/>
              </w:rPr>
            </w:pPr>
          </w:p>
        </w:tc>
        <w:tc>
          <w:tcPr>
            <w:tcW w:w="1253" w:type="dxa"/>
          </w:tcPr>
          <w:p w14:paraId="559916BD">
            <w:pPr>
              <w:spacing w:before="120" w:after="120" w:line="400" w:lineRule="exact"/>
              <w:jc w:val="center"/>
              <w:rPr>
                <w:rFonts w:ascii="宋体" w:hAnsi="宋体"/>
                <w:sz w:val="32"/>
              </w:rPr>
            </w:pPr>
          </w:p>
        </w:tc>
      </w:tr>
      <w:tr w14:paraId="03BE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134" w:type="dxa"/>
          </w:tcPr>
          <w:p w14:paraId="3B9CD032">
            <w:pPr>
              <w:spacing w:before="120" w:after="120" w:line="400" w:lineRule="exact"/>
              <w:jc w:val="center"/>
              <w:rPr>
                <w:rFonts w:ascii="宋体" w:hAnsi="宋体" w:cs="宋体"/>
                <w:sz w:val="28"/>
                <w:szCs w:val="28"/>
              </w:rPr>
            </w:pPr>
            <w:r>
              <w:rPr>
                <w:rFonts w:hint="eastAsia" w:ascii="宋体" w:hAnsi="宋体" w:cs="宋体"/>
                <w:sz w:val="28"/>
                <w:szCs w:val="28"/>
              </w:rPr>
              <w:t>2</w:t>
            </w:r>
          </w:p>
        </w:tc>
        <w:tc>
          <w:tcPr>
            <w:tcW w:w="4472" w:type="dxa"/>
          </w:tcPr>
          <w:p w14:paraId="09EBEA41">
            <w:pPr>
              <w:widowControl/>
              <w:jc w:val="left"/>
              <w:rPr>
                <w:rFonts w:ascii="宋体" w:hAnsi="宋体" w:cs="宋体"/>
                <w:sz w:val="24"/>
                <w:szCs w:val="24"/>
              </w:rPr>
            </w:pPr>
            <w:r>
              <w:rPr>
                <w:rFonts w:hint="eastAsia" w:ascii="宋体" w:hAnsi="宋体" w:cs="宋体"/>
                <w:sz w:val="24"/>
                <w:szCs w:val="24"/>
              </w:rPr>
              <w:t>精密空调系统故障应急处理：</w:t>
            </w:r>
          </w:p>
          <w:p w14:paraId="3A867C28">
            <w:pPr>
              <w:widowControl/>
              <w:jc w:val="left"/>
              <w:rPr>
                <w:rFonts w:ascii="宋体" w:hAnsi="宋体"/>
                <w:szCs w:val="21"/>
              </w:rPr>
            </w:pPr>
            <w:r>
              <w:rPr>
                <w:rFonts w:hint="eastAsia" w:ascii="宋体" w:hAnsi="宋体" w:cs="宋体"/>
                <w:sz w:val="24"/>
                <w:szCs w:val="24"/>
              </w:rPr>
              <w:t>故障响应：接到故障通知后，按 “海淀院区1小时、昌平院区2小时” 抵达现场，优先处理影响机房环境的故障（如空调停机、温湿度失控）；重大故障（如压缩机失效、管路泄漏）立即启动备用空调保障机房环境，24 小时内完成备件调配与更换，修复后进行24小时试运行监测；故障修复：一般故障（如滤网堵塞、传感器故障）4小时内完成修复，更换备件为原厂或同等认证产品（原厂专用温湿度传感器、滤网）；故障复盘：故障修复后3个工作日内提交《故障处理报告》，分析故障原因（如老化、操作不当），提出预防措施。</w:t>
            </w:r>
          </w:p>
        </w:tc>
        <w:tc>
          <w:tcPr>
            <w:tcW w:w="2247" w:type="dxa"/>
          </w:tcPr>
          <w:p w14:paraId="5455DB61">
            <w:pPr>
              <w:spacing w:before="120" w:after="120" w:line="400" w:lineRule="exact"/>
              <w:jc w:val="center"/>
              <w:rPr>
                <w:rFonts w:ascii="宋体" w:hAnsi="宋体"/>
                <w:szCs w:val="21"/>
              </w:rPr>
            </w:pPr>
          </w:p>
        </w:tc>
        <w:tc>
          <w:tcPr>
            <w:tcW w:w="1253" w:type="dxa"/>
          </w:tcPr>
          <w:p w14:paraId="7CCDF1B3">
            <w:pPr>
              <w:spacing w:before="120" w:after="120" w:line="400" w:lineRule="exact"/>
              <w:jc w:val="center"/>
              <w:rPr>
                <w:rFonts w:ascii="宋体" w:hAnsi="宋体"/>
                <w:sz w:val="32"/>
              </w:rPr>
            </w:pPr>
          </w:p>
        </w:tc>
      </w:tr>
      <w:tr w14:paraId="61EC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134" w:type="dxa"/>
          </w:tcPr>
          <w:p w14:paraId="38CC5133">
            <w:pPr>
              <w:spacing w:before="120" w:after="120" w:line="400" w:lineRule="exact"/>
              <w:jc w:val="center"/>
              <w:rPr>
                <w:rFonts w:ascii="宋体" w:hAnsi="宋体" w:cs="宋体"/>
                <w:sz w:val="28"/>
                <w:szCs w:val="28"/>
              </w:rPr>
            </w:pPr>
            <w:r>
              <w:rPr>
                <w:rFonts w:hint="eastAsia" w:ascii="宋体" w:hAnsi="宋体" w:cs="宋体"/>
                <w:sz w:val="28"/>
                <w:szCs w:val="28"/>
              </w:rPr>
              <w:t>3</w:t>
            </w:r>
          </w:p>
        </w:tc>
        <w:tc>
          <w:tcPr>
            <w:tcW w:w="4472" w:type="dxa"/>
          </w:tcPr>
          <w:p w14:paraId="1153E4DA">
            <w:pPr>
              <w:widowControl/>
              <w:jc w:val="left"/>
              <w:rPr>
                <w:rFonts w:ascii="宋体" w:hAnsi="宋体" w:cs="宋体"/>
                <w:sz w:val="24"/>
                <w:szCs w:val="24"/>
              </w:rPr>
            </w:pPr>
            <w:r>
              <w:rPr>
                <w:rFonts w:hint="eastAsia" w:ascii="宋体" w:hAnsi="宋体" w:cs="宋体"/>
                <w:sz w:val="24"/>
                <w:szCs w:val="24"/>
              </w:rPr>
              <w:t>UPS 不间断电源定期巡检与保养：月度巡检月度巡检（每月至少1次）</w:t>
            </w:r>
          </w:p>
          <w:p w14:paraId="5A7F3212">
            <w:pPr>
              <w:widowControl/>
              <w:jc w:val="left"/>
              <w:rPr>
                <w:rFonts w:ascii="宋体" w:hAnsi="宋体" w:cs="宋体"/>
                <w:sz w:val="24"/>
                <w:szCs w:val="24"/>
              </w:rPr>
            </w:pPr>
            <w:r>
              <w:rPr>
                <w:rFonts w:hint="eastAsia" w:ascii="宋体" w:hAnsi="宋体" w:cs="宋体"/>
                <w:sz w:val="24"/>
                <w:szCs w:val="24"/>
              </w:rPr>
              <w:t>运行状态检查：查看 UPS 主机显示屏，确认输入 / 输出电压（220V±2%）、电流、频率等参数正常，无过载、报警提示；</w:t>
            </w:r>
          </w:p>
          <w:p w14:paraId="5CB0C330">
            <w:pPr>
              <w:widowControl/>
              <w:jc w:val="left"/>
              <w:rPr>
                <w:rFonts w:ascii="宋体" w:hAnsi="宋体" w:cs="宋体"/>
                <w:sz w:val="24"/>
                <w:szCs w:val="24"/>
              </w:rPr>
            </w:pPr>
            <w:r>
              <w:rPr>
                <w:rFonts w:hint="eastAsia" w:ascii="宋体" w:hAnsi="宋体" w:cs="宋体"/>
                <w:sz w:val="24"/>
                <w:szCs w:val="24"/>
              </w:rPr>
              <w:t>电池组检查：测量电池单体电压（正常范围 12.0 - 13.5V），检查电池外观无鼓包、漏液，连接线无松动、腐蚀；</w:t>
            </w:r>
          </w:p>
          <w:p w14:paraId="043D02CD">
            <w:pPr>
              <w:widowControl/>
              <w:jc w:val="left"/>
              <w:rPr>
                <w:rFonts w:ascii="宋体" w:hAnsi="宋体" w:cs="宋体"/>
                <w:sz w:val="24"/>
                <w:szCs w:val="24"/>
              </w:rPr>
            </w:pPr>
            <w:r>
              <w:rPr>
                <w:rFonts w:hint="eastAsia" w:ascii="宋体" w:hAnsi="宋体" w:cs="宋体"/>
                <w:sz w:val="24"/>
                <w:szCs w:val="24"/>
              </w:rPr>
              <w:t>环境检查：清理 UPS 机柜内灰尘，检查散热风扇运行正常，确保机柜通风良好。</w:t>
            </w:r>
          </w:p>
          <w:p w14:paraId="33A11757">
            <w:pPr>
              <w:widowControl/>
              <w:jc w:val="left"/>
              <w:rPr>
                <w:rFonts w:ascii="宋体" w:hAnsi="宋体" w:cs="宋体"/>
                <w:sz w:val="24"/>
                <w:szCs w:val="24"/>
              </w:rPr>
            </w:pPr>
            <w:r>
              <w:rPr>
                <w:rFonts w:hint="eastAsia" w:ascii="宋体" w:hAnsi="宋体" w:cs="宋体"/>
                <w:sz w:val="24"/>
                <w:szCs w:val="24"/>
              </w:rPr>
              <w:t>季度保养（每3个月至少1次）</w:t>
            </w:r>
          </w:p>
          <w:p w14:paraId="4609262B">
            <w:pPr>
              <w:widowControl/>
              <w:jc w:val="left"/>
              <w:rPr>
                <w:rFonts w:ascii="宋体" w:hAnsi="宋体" w:cs="宋体"/>
                <w:sz w:val="24"/>
                <w:szCs w:val="24"/>
              </w:rPr>
            </w:pPr>
            <w:r>
              <w:rPr>
                <w:rFonts w:hint="eastAsia" w:ascii="宋体" w:hAnsi="宋体" w:cs="宋体"/>
                <w:sz w:val="24"/>
                <w:szCs w:val="24"/>
              </w:rPr>
              <w:t>性能测试：进行 UPS 切换测试（市电 / 电池模式），确保切换时间≤10ms，无中断供电；</w:t>
            </w:r>
          </w:p>
          <w:p w14:paraId="680A16FC">
            <w:pPr>
              <w:widowControl/>
              <w:jc w:val="left"/>
              <w:rPr>
                <w:rFonts w:ascii="宋体" w:hAnsi="宋体" w:cs="宋体"/>
                <w:sz w:val="24"/>
                <w:szCs w:val="24"/>
              </w:rPr>
            </w:pPr>
            <w:r>
              <w:rPr>
                <w:rFonts w:hint="eastAsia" w:ascii="宋体" w:hAnsi="宋体" w:cs="宋体"/>
                <w:sz w:val="24"/>
                <w:szCs w:val="24"/>
              </w:rPr>
              <w:t>电池维护：对电池组进行均衡充电，激活衰减电池容量，记录充电曲线，评估电池健康状态；</w:t>
            </w:r>
          </w:p>
          <w:p w14:paraId="6620B9CE">
            <w:pPr>
              <w:widowControl/>
              <w:jc w:val="left"/>
              <w:rPr>
                <w:rFonts w:ascii="宋体" w:hAnsi="宋体" w:cs="宋体"/>
                <w:sz w:val="24"/>
                <w:szCs w:val="24"/>
              </w:rPr>
            </w:pPr>
            <w:r>
              <w:rPr>
                <w:rFonts w:hint="eastAsia" w:ascii="宋体" w:hAnsi="宋体" w:cs="宋体"/>
                <w:sz w:val="24"/>
                <w:szCs w:val="24"/>
              </w:rPr>
              <w:t>部件检查：检查 UPS 逆变器、整流器模块运行温度，检测电容、电阻等元件无老化迹象。</w:t>
            </w:r>
          </w:p>
          <w:p w14:paraId="10850222">
            <w:pPr>
              <w:widowControl/>
              <w:jc w:val="left"/>
              <w:rPr>
                <w:rFonts w:ascii="宋体" w:hAnsi="宋体" w:cs="宋体"/>
                <w:sz w:val="24"/>
                <w:szCs w:val="24"/>
              </w:rPr>
            </w:pPr>
            <w:r>
              <w:rPr>
                <w:rFonts w:hint="eastAsia" w:ascii="宋体" w:hAnsi="宋体" w:cs="宋体"/>
                <w:sz w:val="24"/>
                <w:szCs w:val="24"/>
              </w:rPr>
              <w:t>半年度全检（每年至少2次）</w:t>
            </w:r>
          </w:p>
          <w:p w14:paraId="59AF9436">
            <w:pPr>
              <w:widowControl/>
              <w:jc w:val="left"/>
              <w:rPr>
                <w:rFonts w:ascii="宋体" w:hAnsi="宋体" w:cs="宋体"/>
                <w:sz w:val="24"/>
                <w:szCs w:val="24"/>
              </w:rPr>
            </w:pPr>
            <w:r>
              <w:rPr>
                <w:rFonts w:hint="eastAsia" w:ascii="宋体" w:hAnsi="宋体" w:cs="宋体"/>
                <w:sz w:val="24"/>
                <w:szCs w:val="24"/>
              </w:rPr>
              <w:t>电池容量测试：采用专业放电设备对电池组进行 10 小时率放电测试，确保后备供电时间≥30 分钟，若单节电池容量衰减超 20%，提出更换建议；</w:t>
            </w:r>
          </w:p>
          <w:p w14:paraId="3FD5CEDB">
            <w:pPr>
              <w:widowControl/>
              <w:jc w:val="left"/>
              <w:rPr>
                <w:rFonts w:ascii="宋体" w:hAnsi="宋体" w:cs="宋体"/>
                <w:sz w:val="24"/>
                <w:szCs w:val="24"/>
              </w:rPr>
            </w:pPr>
            <w:r>
              <w:rPr>
                <w:rFonts w:hint="eastAsia" w:ascii="宋体" w:hAnsi="宋体" w:cs="宋体"/>
                <w:sz w:val="24"/>
                <w:szCs w:val="24"/>
              </w:rPr>
              <w:t>系统校准：校准 UPS 电压、电流检测模块，确保计量精度符合行业标准；</w:t>
            </w:r>
          </w:p>
          <w:p w14:paraId="086D8F57">
            <w:pPr>
              <w:widowControl/>
              <w:jc w:val="left"/>
              <w:rPr>
                <w:rFonts w:ascii="宋体" w:hAnsi="宋体" w:cs="宋体"/>
                <w:sz w:val="24"/>
                <w:szCs w:val="24"/>
              </w:rPr>
            </w:pPr>
            <w:r>
              <w:rPr>
                <w:rFonts w:hint="eastAsia" w:ascii="宋体" w:hAnsi="宋体" w:cs="宋体"/>
                <w:sz w:val="24"/>
                <w:szCs w:val="24"/>
              </w:rPr>
              <w:t>固件升级：根据厂家最新固件版本，升级 UPS 控制程序，修复已知漏洞，提升系统稳定性。</w:t>
            </w:r>
          </w:p>
        </w:tc>
        <w:tc>
          <w:tcPr>
            <w:tcW w:w="2247" w:type="dxa"/>
          </w:tcPr>
          <w:p w14:paraId="6E209FAB">
            <w:pPr>
              <w:spacing w:before="120" w:after="120" w:line="400" w:lineRule="exact"/>
              <w:jc w:val="center"/>
              <w:rPr>
                <w:rFonts w:ascii="宋体" w:hAnsi="宋体"/>
                <w:szCs w:val="21"/>
              </w:rPr>
            </w:pPr>
          </w:p>
        </w:tc>
        <w:tc>
          <w:tcPr>
            <w:tcW w:w="1253" w:type="dxa"/>
          </w:tcPr>
          <w:p w14:paraId="749A639F">
            <w:pPr>
              <w:spacing w:before="120" w:after="120" w:line="400" w:lineRule="exact"/>
              <w:jc w:val="center"/>
              <w:rPr>
                <w:rFonts w:ascii="宋体" w:hAnsi="宋体"/>
                <w:sz w:val="32"/>
              </w:rPr>
            </w:pPr>
          </w:p>
        </w:tc>
      </w:tr>
      <w:tr w14:paraId="46B0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134" w:type="dxa"/>
          </w:tcPr>
          <w:p w14:paraId="516A578D">
            <w:pPr>
              <w:spacing w:before="120" w:after="120" w:line="400" w:lineRule="exact"/>
              <w:jc w:val="center"/>
              <w:rPr>
                <w:rFonts w:ascii="宋体" w:hAnsi="宋体" w:cs="宋体"/>
                <w:sz w:val="28"/>
                <w:szCs w:val="28"/>
              </w:rPr>
            </w:pPr>
            <w:r>
              <w:rPr>
                <w:rFonts w:hint="eastAsia" w:ascii="宋体" w:hAnsi="宋体" w:cs="宋体"/>
                <w:sz w:val="28"/>
                <w:szCs w:val="28"/>
              </w:rPr>
              <w:t>4</w:t>
            </w:r>
          </w:p>
        </w:tc>
        <w:tc>
          <w:tcPr>
            <w:tcW w:w="4472" w:type="dxa"/>
          </w:tcPr>
          <w:p w14:paraId="77AD8ECA">
            <w:pPr>
              <w:widowControl/>
              <w:jc w:val="left"/>
              <w:rPr>
                <w:rFonts w:ascii="宋体" w:hAnsi="宋体" w:cs="宋体"/>
                <w:sz w:val="24"/>
                <w:szCs w:val="24"/>
              </w:rPr>
            </w:pPr>
            <w:r>
              <w:rPr>
                <w:rFonts w:hint="eastAsia" w:ascii="宋体" w:hAnsi="宋体" w:cs="宋体"/>
                <w:sz w:val="24"/>
                <w:szCs w:val="24"/>
              </w:rPr>
              <w:t>UPS 不间断电源故障应急处理：故障响应：市电中断时若 UPS 无法切换至电池模式，或出现过载、短路报警，1 小时内（海淀院区）/2 小时内（昌平院区）抵达现场；</w:t>
            </w:r>
          </w:p>
          <w:p w14:paraId="584BE207">
            <w:pPr>
              <w:widowControl/>
              <w:jc w:val="left"/>
              <w:rPr>
                <w:rFonts w:ascii="宋体" w:hAnsi="宋体" w:cs="宋体"/>
                <w:sz w:val="24"/>
                <w:szCs w:val="24"/>
              </w:rPr>
            </w:pPr>
            <w:r>
              <w:rPr>
                <w:rFonts w:hint="eastAsia" w:ascii="宋体" w:hAnsi="宋体" w:cs="宋体"/>
                <w:sz w:val="24"/>
                <w:szCs w:val="24"/>
              </w:rPr>
              <w:t>故障修复：一般故障（如风扇故障、报警误报）4 小时内更换部件，恢复正常运行；重大故障（如逆变器损坏、电池组失效）：立即启用备用 UPS（若有），24 小时内完成核心部件更换，修复后进行72 小时带载测试；</w:t>
            </w:r>
          </w:p>
          <w:p w14:paraId="722B101D">
            <w:pPr>
              <w:widowControl/>
              <w:jc w:val="left"/>
              <w:rPr>
                <w:rFonts w:ascii="宋体" w:hAnsi="宋体" w:cs="宋体"/>
                <w:sz w:val="24"/>
                <w:szCs w:val="24"/>
              </w:rPr>
            </w:pPr>
            <w:r>
              <w:rPr>
                <w:rFonts w:hint="eastAsia" w:ascii="宋体" w:hAnsi="宋体" w:cs="宋体"/>
                <w:sz w:val="24"/>
                <w:szCs w:val="24"/>
              </w:rPr>
              <w:t>预案优化：根据故障案例，更新《UPS 应急供电预案》，定期协助医院开展断电演练。</w:t>
            </w:r>
          </w:p>
        </w:tc>
        <w:tc>
          <w:tcPr>
            <w:tcW w:w="2247" w:type="dxa"/>
          </w:tcPr>
          <w:p w14:paraId="7916261D">
            <w:pPr>
              <w:spacing w:before="120" w:after="120" w:line="400" w:lineRule="exact"/>
              <w:jc w:val="center"/>
              <w:rPr>
                <w:rFonts w:ascii="宋体" w:hAnsi="宋体"/>
                <w:szCs w:val="21"/>
              </w:rPr>
            </w:pPr>
          </w:p>
        </w:tc>
        <w:tc>
          <w:tcPr>
            <w:tcW w:w="1253" w:type="dxa"/>
          </w:tcPr>
          <w:p w14:paraId="61C110DB">
            <w:pPr>
              <w:spacing w:before="120" w:after="120" w:line="400" w:lineRule="exact"/>
              <w:jc w:val="center"/>
              <w:rPr>
                <w:rFonts w:ascii="宋体" w:hAnsi="宋体"/>
                <w:sz w:val="32"/>
              </w:rPr>
            </w:pPr>
          </w:p>
        </w:tc>
      </w:tr>
      <w:tr w14:paraId="3494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FCA9810">
            <w:pPr>
              <w:spacing w:before="120" w:after="120" w:line="400" w:lineRule="exact"/>
              <w:jc w:val="center"/>
              <w:rPr>
                <w:rFonts w:ascii="宋体" w:hAnsi="宋体" w:cs="宋体"/>
                <w:sz w:val="28"/>
                <w:szCs w:val="28"/>
              </w:rPr>
            </w:pPr>
            <w:r>
              <w:rPr>
                <w:rFonts w:hint="eastAsia" w:ascii="宋体" w:hAnsi="宋体" w:cs="宋体"/>
                <w:sz w:val="28"/>
                <w:szCs w:val="28"/>
              </w:rPr>
              <w:t>5</w:t>
            </w:r>
          </w:p>
        </w:tc>
        <w:tc>
          <w:tcPr>
            <w:tcW w:w="4472" w:type="dxa"/>
          </w:tcPr>
          <w:p w14:paraId="1A3893FA">
            <w:pPr>
              <w:widowControl/>
              <w:jc w:val="left"/>
              <w:rPr>
                <w:rFonts w:ascii="宋体" w:hAnsi="宋体" w:cs="宋体"/>
                <w:sz w:val="24"/>
                <w:szCs w:val="24"/>
              </w:rPr>
            </w:pPr>
            <w:r>
              <w:rPr>
                <w:rFonts w:hint="eastAsia" w:ascii="宋体" w:hAnsi="宋体" w:cs="宋体"/>
                <w:sz w:val="24"/>
                <w:szCs w:val="24"/>
              </w:rPr>
              <w:t>动环监控系统定期巡检与优化：月度巡检（每月至少1次）</w:t>
            </w:r>
          </w:p>
          <w:p w14:paraId="0791A289">
            <w:pPr>
              <w:widowControl/>
              <w:jc w:val="left"/>
              <w:rPr>
                <w:rFonts w:ascii="宋体" w:hAnsi="宋体" w:cs="宋体"/>
                <w:sz w:val="24"/>
                <w:szCs w:val="24"/>
              </w:rPr>
            </w:pPr>
            <w:r>
              <w:rPr>
                <w:rFonts w:hint="eastAsia" w:ascii="宋体" w:hAnsi="宋体" w:cs="宋体"/>
                <w:sz w:val="24"/>
                <w:szCs w:val="24"/>
              </w:rPr>
              <w:t>传感器检查：检查温湿度、电压电流、门禁等传感器安装牢固，数据采集正常，无离线、数据漂移现象；</w:t>
            </w:r>
          </w:p>
          <w:p w14:paraId="79150488">
            <w:pPr>
              <w:widowControl/>
              <w:jc w:val="left"/>
              <w:rPr>
                <w:rFonts w:ascii="宋体" w:hAnsi="宋体" w:cs="宋体"/>
                <w:sz w:val="24"/>
                <w:szCs w:val="24"/>
              </w:rPr>
            </w:pPr>
            <w:r>
              <w:rPr>
                <w:rFonts w:hint="eastAsia" w:ascii="宋体" w:hAnsi="宋体" w:cs="宋体"/>
                <w:sz w:val="24"/>
                <w:szCs w:val="24"/>
              </w:rPr>
              <w:t>平台监测：登录监控平台，查看数据传输延迟（≤10 秒），检查报警功能（如温湿度超标、门禁异常）是否正常触发，无漏报、误报；</w:t>
            </w:r>
          </w:p>
          <w:p w14:paraId="365BE066">
            <w:pPr>
              <w:widowControl/>
              <w:jc w:val="left"/>
              <w:rPr>
                <w:rFonts w:ascii="宋体" w:hAnsi="宋体" w:cs="宋体"/>
                <w:sz w:val="24"/>
                <w:szCs w:val="24"/>
              </w:rPr>
            </w:pPr>
            <w:r>
              <w:rPr>
                <w:rFonts w:hint="eastAsia" w:ascii="宋体" w:hAnsi="宋体" w:cs="宋体"/>
                <w:sz w:val="24"/>
                <w:szCs w:val="24"/>
              </w:rPr>
              <w:t>设备清洁：清洁传感器探头、摄像头镜头，确保数据采集准确、画面清晰。</w:t>
            </w:r>
          </w:p>
          <w:p w14:paraId="7DBC80CB">
            <w:pPr>
              <w:widowControl/>
              <w:jc w:val="left"/>
              <w:rPr>
                <w:rFonts w:ascii="宋体" w:hAnsi="宋体" w:cs="宋体"/>
                <w:sz w:val="24"/>
                <w:szCs w:val="24"/>
              </w:rPr>
            </w:pPr>
            <w:r>
              <w:rPr>
                <w:rFonts w:hint="eastAsia" w:ascii="宋体" w:hAnsi="宋体" w:cs="宋体"/>
                <w:sz w:val="24"/>
                <w:szCs w:val="24"/>
              </w:rPr>
              <w:t>季度优化（每3个月至少1次）</w:t>
            </w:r>
          </w:p>
          <w:p w14:paraId="43A5E07C">
            <w:pPr>
              <w:widowControl/>
              <w:jc w:val="left"/>
              <w:rPr>
                <w:rFonts w:ascii="宋体" w:hAnsi="宋体" w:cs="宋体"/>
                <w:sz w:val="24"/>
                <w:szCs w:val="24"/>
              </w:rPr>
            </w:pPr>
            <w:r>
              <w:rPr>
                <w:rFonts w:hint="eastAsia" w:ascii="宋体" w:hAnsi="宋体" w:cs="宋体"/>
                <w:sz w:val="24"/>
                <w:szCs w:val="24"/>
              </w:rPr>
              <w:t>数据校准：使用标准设备校准温湿度传感器（精度 ±0.5℃/±3%）、电压电流传感器（精度 ±0.5%），修正数据偏差；</w:t>
            </w:r>
          </w:p>
          <w:p w14:paraId="4DA1CEE3">
            <w:pPr>
              <w:widowControl/>
              <w:jc w:val="left"/>
              <w:rPr>
                <w:rFonts w:ascii="宋体" w:hAnsi="宋体" w:cs="宋体"/>
                <w:sz w:val="24"/>
                <w:szCs w:val="24"/>
              </w:rPr>
            </w:pPr>
            <w:r>
              <w:rPr>
                <w:rFonts w:hint="eastAsia" w:ascii="宋体" w:hAnsi="宋体" w:cs="宋体"/>
                <w:sz w:val="24"/>
                <w:szCs w:val="24"/>
              </w:rPr>
              <w:t>平台维护：清理监控平台冗余数据，优化数据库性能，确保数据查询、报表生成流畅；</w:t>
            </w:r>
          </w:p>
          <w:p w14:paraId="538AAC23">
            <w:pPr>
              <w:widowControl/>
              <w:jc w:val="left"/>
              <w:rPr>
                <w:rFonts w:ascii="宋体" w:hAnsi="宋体" w:cs="宋体"/>
                <w:sz w:val="24"/>
                <w:szCs w:val="24"/>
              </w:rPr>
            </w:pPr>
            <w:r>
              <w:rPr>
                <w:rFonts w:hint="eastAsia" w:ascii="宋体" w:hAnsi="宋体" w:cs="宋体"/>
                <w:sz w:val="24"/>
                <w:szCs w:val="24"/>
              </w:rPr>
              <w:t>功能检查：测试监控平台远程控制功能（如空调开关机、灯光控制），确保指令执行准确。</w:t>
            </w:r>
          </w:p>
          <w:p w14:paraId="09FA941C">
            <w:pPr>
              <w:widowControl/>
              <w:jc w:val="left"/>
              <w:rPr>
                <w:rFonts w:ascii="宋体" w:hAnsi="宋体" w:cs="宋体"/>
                <w:sz w:val="24"/>
                <w:szCs w:val="24"/>
              </w:rPr>
            </w:pPr>
            <w:r>
              <w:rPr>
                <w:rFonts w:hint="eastAsia" w:ascii="宋体" w:hAnsi="宋体" w:cs="宋体"/>
                <w:sz w:val="24"/>
                <w:szCs w:val="24"/>
              </w:rPr>
              <w:t>年度升级（每年至少 1 次）</w:t>
            </w:r>
          </w:p>
          <w:p w14:paraId="6D109E08">
            <w:pPr>
              <w:widowControl/>
              <w:jc w:val="left"/>
              <w:rPr>
                <w:rFonts w:ascii="宋体" w:hAnsi="宋体" w:cs="宋体"/>
                <w:sz w:val="24"/>
                <w:szCs w:val="24"/>
              </w:rPr>
            </w:pPr>
            <w:r>
              <w:rPr>
                <w:rFonts w:hint="eastAsia" w:ascii="宋体" w:hAnsi="宋体" w:cs="宋体"/>
                <w:sz w:val="24"/>
                <w:szCs w:val="24"/>
              </w:rPr>
              <w:t>系统升级：更新监控软件版本，新增数据趋势分析、故障预测等功能（如基于历史数据预测空调滤网更换周期）；</w:t>
            </w:r>
          </w:p>
          <w:p w14:paraId="318B8B06">
            <w:pPr>
              <w:widowControl/>
              <w:jc w:val="left"/>
              <w:rPr>
                <w:rFonts w:ascii="宋体" w:hAnsi="宋体" w:cs="宋体"/>
                <w:sz w:val="24"/>
                <w:szCs w:val="24"/>
              </w:rPr>
            </w:pPr>
            <w:r>
              <w:rPr>
                <w:rFonts w:hint="eastAsia" w:ascii="宋体" w:hAnsi="宋体" w:cs="宋体"/>
                <w:sz w:val="24"/>
                <w:szCs w:val="24"/>
              </w:rPr>
              <w:t>设备评估：对运行超 8 年的传感器、监控主机进行性能评估，提出设备更新建议；</w:t>
            </w:r>
          </w:p>
          <w:p w14:paraId="5161313B">
            <w:pPr>
              <w:widowControl/>
              <w:jc w:val="left"/>
              <w:rPr>
                <w:rFonts w:ascii="宋体" w:hAnsi="宋体" w:cs="宋体"/>
                <w:sz w:val="24"/>
                <w:szCs w:val="24"/>
              </w:rPr>
            </w:pPr>
            <w:r>
              <w:rPr>
                <w:rFonts w:hint="eastAsia" w:ascii="宋体" w:hAnsi="宋体" w:cs="宋体"/>
                <w:sz w:val="24"/>
                <w:szCs w:val="24"/>
              </w:rPr>
              <w:t>报表优化：根据医院需求，定制《机房环境月度报告》《设备运行年度分析报告》，直观呈现运维数据。</w:t>
            </w:r>
          </w:p>
        </w:tc>
        <w:tc>
          <w:tcPr>
            <w:tcW w:w="2247" w:type="dxa"/>
          </w:tcPr>
          <w:p w14:paraId="18AA8C49">
            <w:pPr>
              <w:spacing w:before="120" w:after="120" w:line="400" w:lineRule="exact"/>
              <w:jc w:val="center"/>
              <w:rPr>
                <w:rFonts w:ascii="宋体" w:hAnsi="宋体"/>
                <w:szCs w:val="21"/>
              </w:rPr>
            </w:pPr>
          </w:p>
        </w:tc>
        <w:tc>
          <w:tcPr>
            <w:tcW w:w="1253" w:type="dxa"/>
          </w:tcPr>
          <w:p w14:paraId="61D49CEA">
            <w:pPr>
              <w:spacing w:before="120" w:after="120" w:line="400" w:lineRule="exact"/>
              <w:jc w:val="center"/>
              <w:rPr>
                <w:rFonts w:ascii="宋体" w:hAnsi="宋体"/>
                <w:sz w:val="32"/>
              </w:rPr>
            </w:pPr>
          </w:p>
        </w:tc>
      </w:tr>
      <w:tr w14:paraId="767F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4898F8E2">
            <w:pPr>
              <w:spacing w:before="120" w:after="120" w:line="400" w:lineRule="exact"/>
              <w:jc w:val="center"/>
              <w:rPr>
                <w:rFonts w:ascii="宋体" w:hAnsi="宋体" w:cs="宋体"/>
                <w:sz w:val="28"/>
                <w:szCs w:val="28"/>
              </w:rPr>
            </w:pPr>
            <w:r>
              <w:rPr>
                <w:rFonts w:hint="eastAsia" w:ascii="宋体" w:hAnsi="宋体" w:cs="宋体"/>
                <w:sz w:val="28"/>
                <w:szCs w:val="28"/>
              </w:rPr>
              <w:t>6</w:t>
            </w:r>
          </w:p>
        </w:tc>
        <w:tc>
          <w:tcPr>
            <w:tcW w:w="4472" w:type="dxa"/>
          </w:tcPr>
          <w:p w14:paraId="2F90E1DA">
            <w:pPr>
              <w:widowControl/>
              <w:jc w:val="left"/>
              <w:rPr>
                <w:rFonts w:ascii="宋体" w:hAnsi="宋体" w:cs="宋体"/>
                <w:sz w:val="24"/>
                <w:szCs w:val="24"/>
              </w:rPr>
            </w:pPr>
            <w:r>
              <w:rPr>
                <w:rFonts w:hint="eastAsia" w:ascii="宋体" w:hAnsi="宋体" w:cs="宋体"/>
                <w:sz w:val="24"/>
                <w:szCs w:val="24"/>
              </w:rPr>
              <w:t>动环监控系统故障应急处理：</w:t>
            </w:r>
          </w:p>
          <w:p w14:paraId="64352350">
            <w:pPr>
              <w:widowControl/>
              <w:jc w:val="left"/>
              <w:rPr>
                <w:rFonts w:ascii="宋体" w:hAnsi="宋体" w:cs="宋体"/>
                <w:sz w:val="24"/>
                <w:szCs w:val="24"/>
              </w:rPr>
            </w:pPr>
            <w:r>
              <w:rPr>
                <w:rFonts w:hint="eastAsia" w:ascii="宋体" w:hAnsi="宋体" w:cs="宋体"/>
                <w:sz w:val="24"/>
                <w:szCs w:val="24"/>
              </w:rPr>
              <w:t>故障响应：监控平台出现大面积传感器离线、数据中断，或报警功能失效，1 小时内（海淀院区）/2 小时内（昌平院区）抵达现场；</w:t>
            </w:r>
          </w:p>
          <w:p w14:paraId="659899F7">
            <w:pPr>
              <w:widowControl/>
              <w:jc w:val="left"/>
              <w:rPr>
                <w:rFonts w:ascii="宋体" w:hAnsi="宋体" w:cs="宋体"/>
                <w:sz w:val="24"/>
                <w:szCs w:val="24"/>
              </w:rPr>
            </w:pPr>
            <w:r>
              <w:rPr>
                <w:rFonts w:hint="eastAsia" w:ascii="宋体" w:hAnsi="宋体" w:cs="宋体"/>
                <w:sz w:val="24"/>
                <w:szCs w:val="24"/>
              </w:rPr>
              <w:t>故障修复：一般故障（如传感器故障、网络连接异常）4 小时内修复或更换传感器，恢复数据传输；重大故障（如监控主机崩溃、平台软件故障）：立即启用备用监控终端（若有），24 小时内修复系统，恢复全部监控功能；</w:t>
            </w:r>
          </w:p>
          <w:p w14:paraId="2A5773C5">
            <w:pPr>
              <w:widowControl/>
              <w:jc w:val="left"/>
              <w:rPr>
                <w:rFonts w:ascii="宋体" w:hAnsi="宋体" w:cs="宋体"/>
                <w:sz w:val="24"/>
                <w:szCs w:val="24"/>
              </w:rPr>
            </w:pPr>
            <w:r>
              <w:rPr>
                <w:rFonts w:hint="eastAsia" w:ascii="宋体" w:hAnsi="宋体" w:cs="宋体"/>
                <w:sz w:val="24"/>
                <w:szCs w:val="24"/>
              </w:rPr>
              <w:t>数据恢复：若因故障导致监控数据丢失，协助医院从备份数据库恢复近 3 个月数据，确保数据完整性。</w:t>
            </w:r>
          </w:p>
        </w:tc>
        <w:tc>
          <w:tcPr>
            <w:tcW w:w="2247" w:type="dxa"/>
          </w:tcPr>
          <w:p w14:paraId="78011AA3">
            <w:pPr>
              <w:spacing w:before="120" w:after="120" w:line="400" w:lineRule="exact"/>
              <w:jc w:val="center"/>
              <w:rPr>
                <w:rFonts w:ascii="宋体" w:hAnsi="宋体"/>
                <w:szCs w:val="21"/>
              </w:rPr>
            </w:pPr>
          </w:p>
        </w:tc>
        <w:tc>
          <w:tcPr>
            <w:tcW w:w="1253" w:type="dxa"/>
          </w:tcPr>
          <w:p w14:paraId="5D67E9C1">
            <w:pPr>
              <w:spacing w:before="120" w:after="120" w:line="400" w:lineRule="exact"/>
              <w:jc w:val="center"/>
              <w:rPr>
                <w:rFonts w:ascii="宋体" w:hAnsi="宋体"/>
                <w:sz w:val="32"/>
              </w:rPr>
            </w:pPr>
          </w:p>
        </w:tc>
      </w:tr>
      <w:tr w14:paraId="637C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621EBAC">
            <w:pPr>
              <w:spacing w:before="120" w:after="120" w:line="400" w:lineRule="exact"/>
              <w:jc w:val="center"/>
              <w:rPr>
                <w:rFonts w:ascii="宋体" w:hAnsi="宋体" w:cs="宋体"/>
                <w:sz w:val="28"/>
                <w:szCs w:val="28"/>
              </w:rPr>
            </w:pPr>
            <w:r>
              <w:rPr>
                <w:rFonts w:hint="eastAsia" w:ascii="宋体" w:hAnsi="宋体" w:cs="宋体"/>
                <w:sz w:val="28"/>
                <w:szCs w:val="28"/>
              </w:rPr>
              <w:t>7</w:t>
            </w:r>
          </w:p>
        </w:tc>
        <w:tc>
          <w:tcPr>
            <w:tcW w:w="4472" w:type="dxa"/>
          </w:tcPr>
          <w:p w14:paraId="2E5AD690">
            <w:pPr>
              <w:widowControl/>
              <w:jc w:val="left"/>
              <w:rPr>
                <w:rFonts w:ascii="宋体" w:hAnsi="宋体" w:cs="宋体"/>
                <w:sz w:val="24"/>
                <w:szCs w:val="24"/>
              </w:rPr>
            </w:pPr>
            <w:r>
              <w:rPr>
                <w:rFonts w:hint="eastAsia" w:ascii="宋体" w:hAnsi="宋体" w:cs="宋体"/>
                <w:sz w:val="24"/>
                <w:szCs w:val="24"/>
              </w:rPr>
              <w:t>其他设备（多功能移动护理车、轻型移动医生车、移动客户端）</w:t>
            </w:r>
          </w:p>
          <w:p w14:paraId="6DE62B2D">
            <w:pPr>
              <w:widowControl/>
              <w:jc w:val="left"/>
              <w:rPr>
                <w:rFonts w:ascii="宋体" w:hAnsi="宋体" w:cs="宋体"/>
                <w:sz w:val="24"/>
                <w:szCs w:val="24"/>
              </w:rPr>
            </w:pPr>
            <w:r>
              <w:rPr>
                <w:rFonts w:hint="eastAsia" w:ascii="宋体" w:hAnsi="宋体" w:cs="宋体"/>
                <w:sz w:val="24"/>
                <w:szCs w:val="24"/>
              </w:rPr>
              <w:t>定期维护：周期性深度保养定期维护侧重部件寿命延长与潜在故障排查，需按固定周期执行，由专业维修人员负责。</w:t>
            </w:r>
          </w:p>
          <w:p w14:paraId="32134786">
            <w:pPr>
              <w:widowControl/>
              <w:jc w:val="left"/>
              <w:rPr>
                <w:rFonts w:ascii="宋体" w:hAnsi="宋体" w:cs="宋体"/>
                <w:sz w:val="24"/>
                <w:szCs w:val="24"/>
              </w:rPr>
            </w:pPr>
            <w:r>
              <w:rPr>
                <w:rFonts w:hint="eastAsia" w:ascii="宋体" w:hAnsi="宋体" w:cs="宋体"/>
                <w:sz w:val="24"/>
                <w:szCs w:val="24"/>
              </w:rPr>
              <w:t>故障响应：监控平台出现大面积传感器离线、数据中断，或报警功能失效，1 小时内（海淀院区）/2 小时内（昌平院区）抵达现场；</w:t>
            </w:r>
          </w:p>
          <w:p w14:paraId="28ABA1FE">
            <w:pPr>
              <w:widowControl/>
              <w:jc w:val="left"/>
              <w:rPr>
                <w:rFonts w:ascii="宋体" w:hAnsi="宋体" w:cs="宋体"/>
                <w:sz w:val="24"/>
                <w:szCs w:val="24"/>
              </w:rPr>
            </w:pPr>
            <w:r>
              <w:rPr>
                <w:rFonts w:hint="eastAsia" w:ascii="宋体" w:hAnsi="宋体" w:cs="宋体"/>
                <w:sz w:val="24"/>
                <w:szCs w:val="24"/>
              </w:rPr>
              <w:t>故障修复：一般故障（如传感器故障、网络连接异常）4 小时内修复或更换传感器，恢复数据传输；重大故障（如主机崩溃、平台软件故障）：立即启用备用终端（若有），24 小时内修复系统，恢复全部功能。</w:t>
            </w:r>
          </w:p>
        </w:tc>
        <w:tc>
          <w:tcPr>
            <w:tcW w:w="2247" w:type="dxa"/>
          </w:tcPr>
          <w:p w14:paraId="5B725D98">
            <w:pPr>
              <w:spacing w:before="120" w:after="120" w:line="400" w:lineRule="exact"/>
              <w:jc w:val="center"/>
              <w:rPr>
                <w:rFonts w:ascii="宋体" w:hAnsi="宋体"/>
                <w:szCs w:val="21"/>
              </w:rPr>
            </w:pPr>
          </w:p>
        </w:tc>
        <w:tc>
          <w:tcPr>
            <w:tcW w:w="1253" w:type="dxa"/>
          </w:tcPr>
          <w:p w14:paraId="4D7D85A2">
            <w:pPr>
              <w:spacing w:before="120" w:after="120" w:line="400" w:lineRule="exact"/>
              <w:jc w:val="center"/>
              <w:rPr>
                <w:rFonts w:ascii="宋体" w:hAnsi="宋体"/>
                <w:sz w:val="32"/>
              </w:rPr>
            </w:pPr>
          </w:p>
        </w:tc>
      </w:tr>
      <w:tr w14:paraId="782E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6031D6B">
            <w:pPr>
              <w:spacing w:before="120" w:after="120" w:line="400" w:lineRule="exact"/>
              <w:jc w:val="center"/>
              <w:rPr>
                <w:rFonts w:ascii="宋体" w:hAnsi="宋体" w:cs="宋体"/>
                <w:sz w:val="28"/>
                <w:szCs w:val="28"/>
              </w:rPr>
            </w:pPr>
            <w:r>
              <w:rPr>
                <w:rFonts w:hint="eastAsia" w:ascii="宋体" w:hAnsi="宋体" w:cs="宋体"/>
                <w:sz w:val="28"/>
                <w:szCs w:val="28"/>
              </w:rPr>
              <w:t>8</w:t>
            </w:r>
          </w:p>
        </w:tc>
        <w:tc>
          <w:tcPr>
            <w:tcW w:w="4472" w:type="dxa"/>
          </w:tcPr>
          <w:p w14:paraId="308C5083">
            <w:pPr>
              <w:widowControl/>
              <w:jc w:val="left"/>
              <w:rPr>
                <w:rFonts w:ascii="宋体" w:hAnsi="宋体" w:cs="宋体"/>
                <w:sz w:val="24"/>
                <w:szCs w:val="24"/>
              </w:rPr>
            </w:pPr>
            <w:r>
              <w:rPr>
                <w:rFonts w:hint="eastAsia" w:ascii="宋体" w:hAnsi="宋体" w:cs="宋体"/>
                <w:sz w:val="24"/>
                <w:szCs w:val="24"/>
              </w:rPr>
              <w:t>合规与安全保障：</w:t>
            </w:r>
          </w:p>
          <w:p w14:paraId="11F985BD">
            <w:pPr>
              <w:widowControl/>
              <w:jc w:val="left"/>
              <w:rPr>
                <w:rFonts w:ascii="宋体" w:hAnsi="宋体" w:cs="宋体"/>
                <w:sz w:val="24"/>
                <w:szCs w:val="24"/>
              </w:rPr>
            </w:pPr>
            <w:r>
              <w:rPr>
                <w:rFonts w:hint="eastAsia" w:ascii="宋体" w:hAnsi="宋体" w:cs="宋体"/>
                <w:sz w:val="24"/>
                <w:szCs w:val="24"/>
              </w:rPr>
              <w:t>合规检查：每季度对照《数据中心设计规范》《医疗机构数据安全管理办法》等标准，开展合规性自查，确保运维操作符合行业要求；</w:t>
            </w:r>
          </w:p>
          <w:p w14:paraId="2C8C5677">
            <w:pPr>
              <w:widowControl/>
              <w:jc w:val="left"/>
              <w:rPr>
                <w:rFonts w:ascii="宋体" w:hAnsi="宋体" w:cs="宋体"/>
                <w:sz w:val="24"/>
                <w:szCs w:val="24"/>
              </w:rPr>
            </w:pPr>
            <w:r>
              <w:rPr>
                <w:rFonts w:hint="eastAsia" w:ascii="宋体" w:hAnsi="宋体" w:cs="宋体"/>
                <w:sz w:val="24"/>
                <w:szCs w:val="24"/>
              </w:rPr>
              <w:t>安全管理：运维人员进入机房需遵守医院门禁制度，携带设备登记备案；接触机房数据需签署《数据保密协议》，严禁泄露医疗相关数据；</w:t>
            </w:r>
          </w:p>
          <w:p w14:paraId="1EDDCC8E">
            <w:pPr>
              <w:widowControl/>
              <w:jc w:val="left"/>
              <w:rPr>
                <w:rFonts w:ascii="宋体" w:hAnsi="宋体" w:cs="宋体"/>
                <w:sz w:val="24"/>
              </w:rPr>
            </w:pPr>
            <w:r>
              <w:rPr>
                <w:rFonts w:hint="eastAsia" w:ascii="宋体" w:hAnsi="宋体" w:cs="宋体"/>
                <w:sz w:val="24"/>
                <w:szCs w:val="24"/>
              </w:rPr>
              <w:t>环境保障：运维操作时采取防尘措施（如佩戴防尘服、使用无尘工具），避免污染机房环境，操作后清理现场，确保无工具、备件遗留。</w:t>
            </w:r>
          </w:p>
        </w:tc>
        <w:tc>
          <w:tcPr>
            <w:tcW w:w="2247" w:type="dxa"/>
          </w:tcPr>
          <w:p w14:paraId="3DFD1557">
            <w:pPr>
              <w:spacing w:before="120" w:after="120" w:line="400" w:lineRule="exact"/>
              <w:jc w:val="center"/>
              <w:rPr>
                <w:rFonts w:ascii="宋体" w:hAnsi="宋体"/>
                <w:szCs w:val="21"/>
              </w:rPr>
            </w:pPr>
          </w:p>
        </w:tc>
        <w:tc>
          <w:tcPr>
            <w:tcW w:w="1253" w:type="dxa"/>
          </w:tcPr>
          <w:p w14:paraId="31287576">
            <w:pPr>
              <w:spacing w:before="120" w:after="120" w:line="400" w:lineRule="exact"/>
              <w:jc w:val="center"/>
              <w:rPr>
                <w:rFonts w:ascii="宋体" w:hAnsi="宋体"/>
                <w:sz w:val="32"/>
              </w:rPr>
            </w:pPr>
          </w:p>
        </w:tc>
      </w:tr>
    </w:tbl>
    <w:p w14:paraId="3C77FA40">
      <w:pPr>
        <w:spacing w:before="120" w:line="360" w:lineRule="atLeast"/>
        <w:ind w:left="735" w:right="183" w:rightChars="87" w:hanging="735" w:hangingChars="350"/>
        <w:rPr>
          <w:rFonts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61C83959">
      <w:pPr>
        <w:snapToGrid w:val="0"/>
        <w:spacing w:line="360" w:lineRule="atLeast"/>
        <w:ind w:firstLine="550"/>
        <w:jc w:val="left"/>
        <w:rPr>
          <w:rFonts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594CEBD7">
      <w:pPr>
        <w:snapToGrid w:val="0"/>
        <w:spacing w:line="360" w:lineRule="atLeast"/>
        <w:ind w:firstLine="550"/>
        <w:jc w:val="left"/>
        <w:rPr>
          <w:rFonts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77006F25">
      <w:pPr>
        <w:spacing w:line="360" w:lineRule="atLeast"/>
        <w:ind w:firstLine="525" w:firstLineChars="250"/>
        <w:jc w:val="left"/>
        <w:outlineLvl w:val="0"/>
        <w:rPr>
          <w:rFonts w:eastAsia="黑体"/>
          <w:szCs w:val="21"/>
        </w:rPr>
        <w:sectPr>
          <w:headerReference r:id="rId10" w:type="default"/>
          <w:footerReference r:id="rId11" w:type="default"/>
          <w:pgSz w:w="11907" w:h="16840"/>
          <w:pgMar w:top="1588" w:right="1134" w:bottom="1814" w:left="1418" w:header="851" w:footer="737" w:gutter="0"/>
          <w:pgNumType w:fmt="decimal"/>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66B4C8B0">
      <w:pPr>
        <w:spacing w:line="400" w:lineRule="atLeast"/>
        <w:jc w:val="left"/>
        <w:rPr>
          <w:rFonts w:ascii="宋体"/>
          <w:bCs/>
          <w:sz w:val="24"/>
          <w:szCs w:val="24"/>
        </w:rPr>
      </w:pPr>
      <w:r>
        <w:rPr>
          <w:rFonts w:hint="eastAsia" w:ascii="宋体"/>
          <w:bCs/>
          <w:sz w:val="24"/>
          <w:szCs w:val="24"/>
        </w:rPr>
        <w:t>附件十</w:t>
      </w:r>
    </w:p>
    <w:p w14:paraId="4083F7A8">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21C0BB34">
      <w:pPr>
        <w:spacing w:line="588" w:lineRule="exact"/>
        <w:rPr>
          <w:rFonts w:ascii="仿宋_GB2312" w:eastAsia="仿宋_GB2312"/>
          <w:b/>
          <w:spacing w:val="6"/>
          <w:sz w:val="30"/>
          <w:szCs w:val="30"/>
        </w:rPr>
      </w:pPr>
    </w:p>
    <w:p w14:paraId="79DA8531">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3497B2">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2FAC5AE9">
      <w:pPr>
        <w:spacing w:line="588" w:lineRule="exact"/>
        <w:ind w:firstLine="504" w:firstLineChars="200"/>
        <w:rPr>
          <w:rFonts w:ascii="宋体" w:hAnsi="宋体"/>
          <w:spacing w:val="6"/>
          <w:sz w:val="24"/>
        </w:rPr>
      </w:pPr>
    </w:p>
    <w:p w14:paraId="02286EEB">
      <w:pPr>
        <w:spacing w:line="588" w:lineRule="exact"/>
        <w:ind w:firstLine="504" w:firstLineChars="200"/>
        <w:rPr>
          <w:rFonts w:ascii="宋体" w:hAnsi="宋体"/>
          <w:spacing w:val="6"/>
          <w:sz w:val="24"/>
        </w:rPr>
      </w:pPr>
    </w:p>
    <w:p w14:paraId="6433F1C7">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37CF5948">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28A0DE8C">
      <w:pPr>
        <w:spacing w:line="400" w:lineRule="atLeast"/>
        <w:jc w:val="center"/>
        <w:rPr>
          <w:rFonts w:ascii="宋体"/>
          <w:b/>
          <w:sz w:val="28"/>
        </w:rPr>
      </w:pPr>
    </w:p>
    <w:p w14:paraId="3E866DF6">
      <w:pPr>
        <w:spacing w:line="400" w:lineRule="atLeast"/>
        <w:jc w:val="center"/>
        <w:rPr>
          <w:rFonts w:ascii="宋体"/>
          <w:b/>
          <w:sz w:val="28"/>
        </w:rPr>
      </w:pPr>
    </w:p>
    <w:p w14:paraId="46354CAF">
      <w:pPr>
        <w:spacing w:line="400" w:lineRule="atLeast"/>
        <w:jc w:val="center"/>
        <w:rPr>
          <w:rFonts w:ascii="宋体"/>
          <w:b/>
          <w:sz w:val="28"/>
        </w:rPr>
      </w:pPr>
    </w:p>
    <w:p w14:paraId="05CBB902">
      <w:pPr>
        <w:spacing w:line="400" w:lineRule="atLeast"/>
        <w:jc w:val="center"/>
        <w:rPr>
          <w:rFonts w:ascii="宋体"/>
          <w:b/>
          <w:sz w:val="28"/>
        </w:rPr>
      </w:pPr>
    </w:p>
    <w:p w14:paraId="738536A0">
      <w:pPr>
        <w:spacing w:line="400" w:lineRule="atLeast"/>
        <w:jc w:val="center"/>
        <w:rPr>
          <w:rFonts w:ascii="宋体"/>
          <w:b/>
          <w:sz w:val="28"/>
        </w:rPr>
      </w:pPr>
    </w:p>
    <w:p w14:paraId="588D7B1B">
      <w:pPr>
        <w:spacing w:line="400" w:lineRule="atLeast"/>
        <w:jc w:val="center"/>
        <w:rPr>
          <w:rFonts w:ascii="宋体"/>
          <w:b/>
          <w:sz w:val="28"/>
        </w:rPr>
      </w:pPr>
    </w:p>
    <w:p w14:paraId="46B892B3">
      <w:pPr>
        <w:spacing w:line="400" w:lineRule="atLeast"/>
        <w:jc w:val="center"/>
        <w:rPr>
          <w:rFonts w:ascii="宋体"/>
          <w:b/>
          <w:sz w:val="28"/>
        </w:rPr>
      </w:pPr>
    </w:p>
    <w:p w14:paraId="31E0B957">
      <w:pPr>
        <w:spacing w:line="400" w:lineRule="atLeast"/>
        <w:jc w:val="center"/>
        <w:rPr>
          <w:rFonts w:ascii="宋体"/>
          <w:b/>
          <w:sz w:val="28"/>
        </w:rPr>
      </w:pPr>
    </w:p>
    <w:p w14:paraId="1533100E">
      <w:pPr>
        <w:spacing w:line="400" w:lineRule="atLeast"/>
        <w:jc w:val="center"/>
        <w:rPr>
          <w:rFonts w:ascii="宋体"/>
          <w:b/>
          <w:sz w:val="28"/>
        </w:rPr>
      </w:pPr>
    </w:p>
    <w:p w14:paraId="62FBAD92">
      <w:pPr>
        <w:spacing w:line="400" w:lineRule="atLeast"/>
        <w:jc w:val="center"/>
        <w:rPr>
          <w:rFonts w:ascii="宋体"/>
          <w:b/>
          <w:sz w:val="28"/>
        </w:rPr>
      </w:pPr>
    </w:p>
    <w:p w14:paraId="6C3E94A0">
      <w:pPr>
        <w:spacing w:line="400" w:lineRule="atLeast"/>
        <w:jc w:val="center"/>
        <w:rPr>
          <w:rFonts w:ascii="宋体"/>
          <w:b/>
          <w:sz w:val="28"/>
        </w:rPr>
      </w:pPr>
    </w:p>
    <w:p w14:paraId="37D8AF1E">
      <w:pPr>
        <w:spacing w:line="400" w:lineRule="atLeast"/>
        <w:jc w:val="center"/>
        <w:rPr>
          <w:rFonts w:ascii="宋体"/>
          <w:b/>
          <w:sz w:val="28"/>
        </w:rPr>
      </w:pPr>
    </w:p>
    <w:p w14:paraId="0EC2E872">
      <w:pPr>
        <w:spacing w:line="400" w:lineRule="atLeast"/>
        <w:jc w:val="center"/>
        <w:rPr>
          <w:rFonts w:ascii="宋体"/>
          <w:b/>
          <w:sz w:val="28"/>
        </w:rPr>
      </w:pPr>
    </w:p>
    <w:p w14:paraId="665C0905">
      <w:pPr>
        <w:spacing w:line="400" w:lineRule="atLeast"/>
        <w:jc w:val="center"/>
        <w:rPr>
          <w:rFonts w:ascii="宋体"/>
          <w:b/>
          <w:sz w:val="28"/>
        </w:rPr>
      </w:pPr>
    </w:p>
    <w:p w14:paraId="73D2FA14">
      <w:pPr>
        <w:spacing w:line="400" w:lineRule="atLeast"/>
        <w:rPr>
          <w:rFonts w:ascii="宋体"/>
          <w:b/>
          <w:sz w:val="28"/>
        </w:rPr>
      </w:pPr>
    </w:p>
    <w:p w14:paraId="7FD0B55E">
      <w:pPr>
        <w:spacing w:line="400" w:lineRule="atLeast"/>
        <w:jc w:val="left"/>
        <w:rPr>
          <w:rFonts w:ascii="宋体"/>
          <w:bCs/>
          <w:sz w:val="24"/>
          <w:szCs w:val="24"/>
        </w:rPr>
      </w:pPr>
      <w:r>
        <w:rPr>
          <w:rFonts w:hint="eastAsia" w:ascii="宋体"/>
          <w:bCs/>
          <w:sz w:val="24"/>
          <w:szCs w:val="24"/>
        </w:rPr>
        <w:t>附件十一</w:t>
      </w:r>
    </w:p>
    <w:p w14:paraId="04CACAC4">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72D17F2B">
      <w:pPr>
        <w:spacing w:line="360" w:lineRule="auto"/>
        <w:ind w:left="1080" w:leftChars="257" w:hanging="540"/>
        <w:jc w:val="center"/>
        <w:rPr>
          <w:rFonts w:ascii="仿宋_GB2312" w:hAnsi="Arial" w:eastAsia="仿宋_GB2312"/>
          <w:b/>
          <w:sz w:val="24"/>
        </w:rPr>
      </w:pPr>
    </w:p>
    <w:p w14:paraId="6A0876C6">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61C18855">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58980F20">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5C892E31">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15BDF967">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3415919A">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3A7F88BA">
      <w:pPr>
        <w:widowControl/>
        <w:spacing w:before="100" w:beforeAutospacing="1" w:after="100" w:afterAutospacing="1" w:line="360" w:lineRule="auto"/>
        <w:jc w:val="left"/>
        <w:rPr>
          <w:rFonts w:ascii="仿宋_GB2312" w:hAnsi="仿宋" w:eastAsia="仿宋_GB2312" w:cs="宋体"/>
          <w:sz w:val="24"/>
        </w:rPr>
      </w:pPr>
    </w:p>
    <w:p w14:paraId="49AD21DC">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11F8CA0B">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106BC8AA">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11FDCBDF">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5082E0A2">
      <w:pPr>
        <w:spacing w:line="400" w:lineRule="atLeast"/>
        <w:rPr>
          <w:rFonts w:ascii="宋体"/>
          <w:sz w:val="24"/>
        </w:rPr>
      </w:pPr>
      <w:r>
        <w:rPr>
          <w:rFonts w:ascii="宋体"/>
          <w:sz w:val="24"/>
        </w:rPr>
        <w:t xml:space="preserve"> </w:t>
      </w:r>
    </w:p>
    <w:p w14:paraId="47F090A6">
      <w:pPr>
        <w:pStyle w:val="23"/>
        <w:spacing w:line="360" w:lineRule="auto"/>
        <w:rPr>
          <w:rFonts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72EA1C6C">
      <w:pPr>
        <w:pStyle w:val="23"/>
        <w:spacing w:line="360" w:lineRule="auto"/>
        <w:jc w:val="center"/>
        <w:rPr>
          <w:rFonts w:ascii="宋体" w:hAnsi="宋体" w:cs="宋体"/>
          <w:sz w:val="28"/>
          <w:szCs w:val="28"/>
        </w:rPr>
      </w:pPr>
      <w:r>
        <w:rPr>
          <w:rStyle w:val="30"/>
          <w:rFonts w:hint="eastAsia" w:ascii="宋体" w:hAnsi="宋体" w:cs="宋体"/>
          <w:sz w:val="28"/>
          <w:szCs w:val="28"/>
        </w:rPr>
        <w:t>中小企业划型标准规定</w:t>
      </w:r>
    </w:p>
    <w:p w14:paraId="1A515F8F">
      <w:pPr>
        <w:numPr>
          <w:ilvl w:val="0"/>
          <w:numId w:val="14"/>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3ECBC266">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29ED878A">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87593B9">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71B0EAD5">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2B2DEA49">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B81C492">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5EC48B">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AA6E87B">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0318450">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6ADAB6E">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F9687E7">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CE8AD51">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4DD4C5">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E842F6">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A5DB674">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82D46E0">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C04C4D6">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E0007D3">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3931CC">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47383A99">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532CD11A">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795EC442">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439C14CF">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55D7145A">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3734A1A7">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792A5F27">
      <w:pPr>
        <w:widowControl/>
        <w:spacing w:before="100" w:beforeAutospacing="1" w:after="100" w:afterAutospacing="1" w:line="330" w:lineRule="atLeast"/>
        <w:jc w:val="left"/>
        <w:rPr>
          <w:rFonts w:ascii="仿宋_GB2312" w:hAnsi="仿宋" w:eastAsia="仿宋_GB2312" w:cs="宋体"/>
          <w:sz w:val="24"/>
        </w:rPr>
      </w:pPr>
    </w:p>
    <w:p w14:paraId="6991530D">
      <w:pPr>
        <w:pStyle w:val="45"/>
        <w:ind w:firstLine="480"/>
        <w:rPr>
          <w:rFonts w:hint="default" w:ascii="仿宋_GB2312" w:hAnsi="仿宋" w:eastAsia="仿宋_GB2312" w:cs="宋体"/>
          <w:sz w:val="24"/>
        </w:rPr>
      </w:pPr>
    </w:p>
    <w:p w14:paraId="072C0B8B">
      <w:pPr>
        <w:rPr>
          <w:rFonts w:ascii="仿宋_GB2312" w:hAnsi="仿宋" w:eastAsia="仿宋_GB2312" w:cs="宋体"/>
          <w:sz w:val="24"/>
        </w:rPr>
      </w:pPr>
    </w:p>
    <w:p w14:paraId="3FC3839A">
      <w:pPr>
        <w:pStyle w:val="45"/>
        <w:ind w:firstLine="480"/>
        <w:rPr>
          <w:rFonts w:hint="default" w:ascii="仿宋_GB2312" w:hAnsi="仿宋" w:eastAsia="仿宋_GB2312" w:cs="宋体"/>
          <w:sz w:val="24"/>
        </w:rPr>
      </w:pPr>
    </w:p>
    <w:p w14:paraId="4A9C75F3">
      <w:pPr>
        <w:rPr>
          <w:rFonts w:ascii="仿宋_GB2312" w:hAnsi="仿宋" w:eastAsia="仿宋_GB2312" w:cs="宋体"/>
          <w:sz w:val="24"/>
        </w:rPr>
      </w:pPr>
    </w:p>
    <w:p w14:paraId="6F65BE4C">
      <w:pPr>
        <w:pStyle w:val="45"/>
        <w:ind w:firstLine="480"/>
        <w:rPr>
          <w:rFonts w:hint="default" w:ascii="仿宋_GB2312" w:hAnsi="仿宋" w:eastAsia="仿宋_GB2312" w:cs="宋体"/>
          <w:sz w:val="24"/>
        </w:rPr>
      </w:pPr>
    </w:p>
    <w:p w14:paraId="2D424D57">
      <w:pPr>
        <w:rPr>
          <w:rFonts w:ascii="仿宋_GB2312" w:hAnsi="仿宋" w:eastAsia="仿宋_GB2312" w:cs="宋体"/>
          <w:sz w:val="24"/>
        </w:rPr>
      </w:pPr>
    </w:p>
    <w:p w14:paraId="639DD374">
      <w:pPr>
        <w:pStyle w:val="45"/>
        <w:ind w:firstLine="480"/>
        <w:rPr>
          <w:rFonts w:hint="default" w:ascii="仿宋_GB2312" w:hAnsi="仿宋" w:eastAsia="仿宋_GB2312" w:cs="宋体"/>
          <w:sz w:val="24"/>
        </w:rPr>
      </w:pPr>
    </w:p>
    <w:p w14:paraId="38C5E29B">
      <w:pPr>
        <w:rPr>
          <w:rFonts w:ascii="仿宋_GB2312" w:hAnsi="仿宋" w:eastAsia="仿宋_GB2312" w:cs="宋体"/>
          <w:sz w:val="24"/>
        </w:rPr>
      </w:pPr>
    </w:p>
    <w:p w14:paraId="1A932981">
      <w:pPr>
        <w:pStyle w:val="45"/>
        <w:ind w:firstLine="480"/>
        <w:rPr>
          <w:rFonts w:hint="default" w:ascii="仿宋_GB2312" w:hAnsi="仿宋" w:eastAsia="仿宋_GB2312" w:cs="宋体"/>
          <w:sz w:val="24"/>
        </w:rPr>
      </w:pPr>
    </w:p>
    <w:p w14:paraId="1AAC017F">
      <w:pPr>
        <w:rPr>
          <w:rFonts w:ascii="仿宋_GB2312" w:hAnsi="仿宋" w:eastAsia="仿宋_GB2312" w:cs="宋体"/>
          <w:sz w:val="24"/>
        </w:rPr>
      </w:pPr>
    </w:p>
    <w:p w14:paraId="53C2317D">
      <w:pPr>
        <w:pStyle w:val="45"/>
        <w:ind w:firstLine="480"/>
        <w:rPr>
          <w:rFonts w:hint="default" w:ascii="仿宋_GB2312" w:hAnsi="仿宋" w:eastAsia="仿宋_GB2312" w:cs="宋体"/>
          <w:sz w:val="24"/>
        </w:rPr>
      </w:pPr>
    </w:p>
    <w:p w14:paraId="5BF165C5">
      <w:pPr>
        <w:rPr>
          <w:rFonts w:ascii="仿宋_GB2312" w:hAnsi="仿宋" w:eastAsia="仿宋_GB2312" w:cs="宋体"/>
          <w:sz w:val="24"/>
        </w:rPr>
      </w:pPr>
    </w:p>
    <w:p w14:paraId="56DA1CD8">
      <w:pPr>
        <w:pStyle w:val="45"/>
        <w:ind w:firstLine="480"/>
        <w:rPr>
          <w:rFonts w:hint="default" w:ascii="仿宋_GB2312" w:hAnsi="仿宋" w:eastAsia="仿宋_GB2312" w:cs="宋体"/>
          <w:sz w:val="24"/>
        </w:rPr>
      </w:pPr>
    </w:p>
    <w:p w14:paraId="089161FD">
      <w:pPr>
        <w:rPr>
          <w:rFonts w:ascii="仿宋_GB2312" w:hAnsi="仿宋" w:eastAsia="仿宋_GB2312" w:cs="宋体"/>
          <w:sz w:val="24"/>
        </w:rPr>
      </w:pPr>
    </w:p>
    <w:p w14:paraId="4C68E061">
      <w:pPr>
        <w:pStyle w:val="45"/>
        <w:ind w:firstLine="480"/>
        <w:rPr>
          <w:rFonts w:hint="default" w:ascii="仿宋_GB2312" w:hAnsi="仿宋" w:eastAsia="仿宋_GB2312" w:cs="宋体"/>
          <w:sz w:val="24"/>
        </w:rPr>
      </w:pPr>
    </w:p>
    <w:p w14:paraId="6E74CF4A">
      <w:pPr>
        <w:rPr>
          <w:rFonts w:ascii="仿宋_GB2312" w:hAnsi="仿宋" w:eastAsia="仿宋_GB2312" w:cs="宋体"/>
          <w:sz w:val="24"/>
        </w:rPr>
      </w:pPr>
    </w:p>
    <w:p w14:paraId="124132DC">
      <w:pPr>
        <w:pStyle w:val="45"/>
        <w:ind w:firstLine="480"/>
        <w:rPr>
          <w:rFonts w:hint="default" w:ascii="仿宋_GB2312" w:hAnsi="仿宋" w:eastAsia="仿宋_GB2312" w:cs="宋体"/>
          <w:sz w:val="24"/>
        </w:rPr>
      </w:pPr>
    </w:p>
    <w:p w14:paraId="6A48E7D4">
      <w:pPr>
        <w:rPr>
          <w:rFonts w:ascii="仿宋_GB2312" w:hAnsi="仿宋" w:eastAsia="仿宋_GB2312" w:cs="宋体"/>
          <w:sz w:val="24"/>
        </w:rPr>
      </w:pPr>
    </w:p>
    <w:p w14:paraId="09F29BEA">
      <w:pPr>
        <w:pStyle w:val="45"/>
        <w:ind w:firstLine="480"/>
        <w:rPr>
          <w:rFonts w:hint="default" w:ascii="仿宋_GB2312" w:hAnsi="仿宋" w:eastAsia="仿宋_GB2312" w:cs="宋体"/>
          <w:sz w:val="24"/>
        </w:rPr>
      </w:pPr>
    </w:p>
    <w:p w14:paraId="5132C735"/>
    <w:p w14:paraId="24111CB0">
      <w:pPr>
        <w:pStyle w:val="45"/>
        <w:ind w:firstLine="480"/>
        <w:rPr>
          <w:rFonts w:hint="default" w:ascii="仿宋_GB2312" w:hAnsi="仿宋" w:eastAsia="仿宋_GB2312" w:cs="宋体"/>
          <w:sz w:val="24"/>
        </w:rPr>
      </w:pPr>
    </w:p>
    <w:p w14:paraId="539AFC02">
      <w:pPr>
        <w:rPr>
          <w:rFonts w:hint="default" w:ascii="仿宋_GB2312" w:hAnsi="仿宋" w:eastAsia="仿宋_GB2312" w:cs="宋体"/>
          <w:sz w:val="24"/>
        </w:rPr>
      </w:pPr>
    </w:p>
    <w:p w14:paraId="20045929">
      <w:pPr>
        <w:rPr>
          <w:rFonts w:hint="default" w:ascii="仿宋_GB2312" w:hAnsi="仿宋" w:eastAsia="仿宋_GB2312" w:cs="宋体"/>
          <w:sz w:val="24"/>
        </w:rPr>
      </w:pPr>
    </w:p>
    <w:p w14:paraId="462C41F0">
      <w:pPr>
        <w:rPr>
          <w:rFonts w:hint="default" w:ascii="仿宋_GB2312" w:hAnsi="仿宋" w:eastAsia="仿宋_GB2312" w:cs="宋体"/>
          <w:sz w:val="24"/>
        </w:rPr>
      </w:pPr>
    </w:p>
    <w:p w14:paraId="67FA1BE9">
      <w:pPr>
        <w:rPr>
          <w:rFonts w:hint="default" w:ascii="仿宋_GB2312" w:hAnsi="仿宋" w:eastAsia="仿宋_GB2312" w:cs="宋体"/>
          <w:sz w:val="24"/>
        </w:rPr>
      </w:pPr>
    </w:p>
    <w:p w14:paraId="407EB60B">
      <w:pPr>
        <w:rPr>
          <w:rFonts w:hint="default" w:ascii="仿宋_GB2312" w:hAnsi="仿宋" w:eastAsia="仿宋_GB2312" w:cs="宋体"/>
          <w:sz w:val="24"/>
        </w:rPr>
      </w:pPr>
    </w:p>
    <w:p w14:paraId="02B72F6F">
      <w:pPr>
        <w:rPr>
          <w:rFonts w:hint="default" w:ascii="仿宋_GB2312" w:hAnsi="仿宋" w:eastAsia="仿宋_GB2312" w:cs="宋体"/>
          <w:sz w:val="24"/>
        </w:rPr>
      </w:pPr>
    </w:p>
    <w:p w14:paraId="056E7688">
      <w:pPr>
        <w:rPr>
          <w:rFonts w:hint="default" w:ascii="仿宋_GB2312" w:hAnsi="仿宋" w:eastAsia="仿宋_GB2312" w:cs="宋体"/>
          <w:sz w:val="24"/>
        </w:rPr>
      </w:pPr>
    </w:p>
    <w:p w14:paraId="4A1B09C8">
      <w:pPr>
        <w:rPr>
          <w:rFonts w:hint="default" w:ascii="仿宋_GB2312" w:hAnsi="仿宋" w:eastAsia="仿宋_GB2312" w:cs="宋体"/>
          <w:sz w:val="24"/>
        </w:rPr>
      </w:pPr>
    </w:p>
    <w:p w14:paraId="44BB3E20">
      <w:pPr>
        <w:rPr>
          <w:rFonts w:hint="default" w:ascii="仿宋_GB2312" w:hAnsi="仿宋" w:eastAsia="仿宋_GB2312" w:cs="宋体"/>
          <w:sz w:val="24"/>
        </w:rPr>
      </w:pPr>
    </w:p>
    <w:p w14:paraId="1AB81FC3">
      <w:pPr>
        <w:rPr>
          <w:rFonts w:hint="default" w:ascii="仿宋_GB2312" w:hAnsi="仿宋" w:eastAsia="仿宋_GB2312" w:cs="宋体"/>
          <w:sz w:val="24"/>
        </w:rPr>
      </w:pPr>
    </w:p>
    <w:p w14:paraId="3426F08B">
      <w:pPr>
        <w:rPr>
          <w:rFonts w:hint="default" w:ascii="仿宋_GB2312" w:hAnsi="仿宋" w:eastAsia="仿宋_GB2312" w:cs="宋体"/>
          <w:sz w:val="24"/>
        </w:rPr>
      </w:pPr>
    </w:p>
    <w:p w14:paraId="5344DB11">
      <w:pPr>
        <w:rPr>
          <w:rFonts w:hint="default" w:ascii="仿宋_GB2312" w:hAnsi="仿宋" w:eastAsia="仿宋_GB2312" w:cs="宋体"/>
          <w:sz w:val="24"/>
        </w:rPr>
      </w:pPr>
    </w:p>
    <w:p w14:paraId="3F865D03">
      <w:pPr>
        <w:rPr>
          <w:rFonts w:ascii="仿宋_GB2312" w:hAnsi="仿宋" w:eastAsia="仿宋_GB2312" w:cs="宋体"/>
          <w:sz w:val="24"/>
        </w:rPr>
      </w:pPr>
    </w:p>
    <w:p w14:paraId="20AB0419">
      <w:pPr>
        <w:pStyle w:val="45"/>
        <w:ind w:left="1680" w:firstLine="723"/>
        <w:rPr>
          <w:rFonts w:hint="default" w:hAnsi="宋体" w:cs="宋体"/>
          <w:b/>
          <w:bCs/>
          <w:sz w:val="36"/>
          <w:szCs w:val="36"/>
        </w:rPr>
      </w:pPr>
      <w:r>
        <w:rPr>
          <w:rFonts w:hAnsi="宋体" w:cs="宋体"/>
          <w:b/>
          <w:bCs/>
          <w:sz w:val="36"/>
          <w:szCs w:val="36"/>
        </w:rPr>
        <w:t>第五部分 评审细则</w:t>
      </w:r>
    </w:p>
    <w:p w14:paraId="5BC8FBE9">
      <w:pPr>
        <w:spacing w:line="520" w:lineRule="exact"/>
        <w:jc w:val="left"/>
        <w:rPr>
          <w:rFonts w:ascii="宋体" w:hAnsi="宋体"/>
          <w:b/>
          <w:sz w:val="24"/>
          <w:szCs w:val="24"/>
        </w:rPr>
      </w:pPr>
      <w:r>
        <w:rPr>
          <w:rFonts w:hint="eastAsia" w:ascii="宋体" w:hAnsi="宋体"/>
          <w:b/>
          <w:sz w:val="24"/>
          <w:szCs w:val="24"/>
        </w:rPr>
        <w:t>一、总则</w:t>
      </w:r>
    </w:p>
    <w:p w14:paraId="487508C3">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4CDE08FD">
      <w:pPr>
        <w:spacing w:line="520" w:lineRule="exact"/>
        <w:jc w:val="left"/>
        <w:rPr>
          <w:rFonts w:ascii="宋体" w:hAnsi="宋体"/>
          <w:sz w:val="24"/>
          <w:szCs w:val="24"/>
        </w:rPr>
      </w:pPr>
      <w:r>
        <w:rPr>
          <w:rFonts w:hint="eastAsia" w:ascii="宋体" w:hAnsi="宋体"/>
          <w:b/>
          <w:sz w:val="24"/>
          <w:szCs w:val="24"/>
        </w:rPr>
        <w:t>二、评审细则</w:t>
      </w:r>
    </w:p>
    <w:tbl>
      <w:tblPr>
        <w:tblStyle w:val="2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1"/>
        <w:gridCol w:w="1500"/>
        <w:gridCol w:w="4887"/>
        <w:gridCol w:w="783"/>
      </w:tblGrid>
      <w:tr w14:paraId="4215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shd w:val="clear" w:color="auto" w:fill="D9D9D9"/>
            <w:vAlign w:val="center"/>
          </w:tcPr>
          <w:p w14:paraId="7D0BBE2E">
            <w:pPr>
              <w:jc w:val="center"/>
              <w:rPr>
                <w:rFonts w:ascii="宋体" w:hAnsi="宋体"/>
                <w:b/>
                <w:szCs w:val="21"/>
              </w:rPr>
            </w:pPr>
            <w:r>
              <w:rPr>
                <w:rFonts w:hint="eastAsia" w:ascii="宋体" w:hAnsi="宋体"/>
                <w:b/>
                <w:szCs w:val="21"/>
              </w:rPr>
              <w:t>序号</w:t>
            </w:r>
          </w:p>
        </w:tc>
        <w:tc>
          <w:tcPr>
            <w:tcW w:w="1491" w:type="dxa"/>
            <w:shd w:val="clear" w:color="auto" w:fill="D9D9D9"/>
            <w:vAlign w:val="center"/>
          </w:tcPr>
          <w:p w14:paraId="468BD69C">
            <w:pPr>
              <w:jc w:val="center"/>
              <w:rPr>
                <w:rFonts w:ascii="宋体" w:hAnsi="宋体"/>
                <w:b/>
                <w:szCs w:val="21"/>
              </w:rPr>
            </w:pPr>
            <w:r>
              <w:rPr>
                <w:rFonts w:hint="eastAsia" w:ascii="宋体" w:hAnsi="宋体"/>
                <w:b/>
                <w:szCs w:val="21"/>
              </w:rPr>
              <w:t>评分类别</w:t>
            </w:r>
          </w:p>
        </w:tc>
        <w:tc>
          <w:tcPr>
            <w:tcW w:w="1500" w:type="dxa"/>
            <w:shd w:val="clear" w:color="auto" w:fill="D9D9D9"/>
            <w:vAlign w:val="center"/>
          </w:tcPr>
          <w:p w14:paraId="7DB4E7B9">
            <w:pPr>
              <w:jc w:val="center"/>
              <w:rPr>
                <w:rFonts w:ascii="宋体" w:hAnsi="宋体"/>
                <w:b/>
                <w:szCs w:val="21"/>
              </w:rPr>
            </w:pPr>
            <w:r>
              <w:rPr>
                <w:rFonts w:hint="eastAsia" w:ascii="宋体" w:hAnsi="宋体"/>
                <w:b/>
                <w:szCs w:val="21"/>
              </w:rPr>
              <w:t>评分项目</w:t>
            </w:r>
          </w:p>
        </w:tc>
        <w:tc>
          <w:tcPr>
            <w:tcW w:w="4887" w:type="dxa"/>
            <w:shd w:val="clear" w:color="auto" w:fill="D9D9D9"/>
            <w:vAlign w:val="center"/>
          </w:tcPr>
          <w:p w14:paraId="202AA83C">
            <w:pPr>
              <w:jc w:val="center"/>
              <w:rPr>
                <w:rFonts w:ascii="宋体" w:hAnsi="宋体"/>
                <w:b/>
                <w:szCs w:val="21"/>
              </w:rPr>
            </w:pPr>
            <w:r>
              <w:rPr>
                <w:rFonts w:hint="eastAsia" w:ascii="宋体" w:hAnsi="宋体"/>
                <w:b/>
                <w:szCs w:val="21"/>
              </w:rPr>
              <w:t>评分细则</w:t>
            </w:r>
          </w:p>
        </w:tc>
        <w:tc>
          <w:tcPr>
            <w:tcW w:w="783" w:type="dxa"/>
            <w:shd w:val="clear" w:color="auto" w:fill="D9D9D9"/>
            <w:vAlign w:val="center"/>
          </w:tcPr>
          <w:p w14:paraId="1F84BB5F">
            <w:pPr>
              <w:jc w:val="center"/>
              <w:rPr>
                <w:rFonts w:ascii="宋体" w:hAnsi="宋体"/>
                <w:b/>
                <w:szCs w:val="21"/>
              </w:rPr>
            </w:pPr>
            <w:r>
              <w:rPr>
                <w:rFonts w:hint="eastAsia" w:ascii="宋体" w:hAnsi="宋体"/>
                <w:b/>
                <w:szCs w:val="21"/>
              </w:rPr>
              <w:t>分值</w:t>
            </w:r>
          </w:p>
        </w:tc>
      </w:tr>
      <w:tr w14:paraId="61FD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53" w:type="dxa"/>
            <w:vAlign w:val="center"/>
          </w:tcPr>
          <w:p w14:paraId="3AC047C6">
            <w:pPr>
              <w:rPr>
                <w:rFonts w:ascii="宋体" w:hAnsi="宋体"/>
                <w:szCs w:val="21"/>
              </w:rPr>
            </w:pPr>
            <w:r>
              <w:rPr>
                <w:rFonts w:hint="eastAsia" w:ascii="宋体" w:hAnsi="宋体"/>
                <w:szCs w:val="21"/>
              </w:rPr>
              <w:t>1</w:t>
            </w:r>
          </w:p>
        </w:tc>
        <w:tc>
          <w:tcPr>
            <w:tcW w:w="1491" w:type="dxa"/>
            <w:vMerge w:val="restart"/>
            <w:vAlign w:val="center"/>
          </w:tcPr>
          <w:p w14:paraId="7D8E4FA4">
            <w:pPr>
              <w:rPr>
                <w:rFonts w:ascii="宋体" w:hAnsi="宋体"/>
                <w:szCs w:val="21"/>
              </w:rPr>
            </w:pPr>
            <w:r>
              <w:rPr>
                <w:rFonts w:hint="eastAsia" w:ascii="宋体" w:hAnsi="宋体"/>
                <w:szCs w:val="21"/>
              </w:rPr>
              <w:t>商务部分（</w:t>
            </w:r>
            <w:r>
              <w:rPr>
                <w:rFonts w:ascii="宋体" w:hAnsi="宋体"/>
                <w:szCs w:val="21"/>
              </w:rPr>
              <w:t>2</w:t>
            </w:r>
            <w:r>
              <w:rPr>
                <w:rFonts w:hint="eastAsia" w:ascii="宋体" w:hAnsi="宋体"/>
                <w:szCs w:val="21"/>
              </w:rPr>
              <w:t>0分）</w:t>
            </w:r>
          </w:p>
        </w:tc>
        <w:tc>
          <w:tcPr>
            <w:tcW w:w="1500" w:type="dxa"/>
            <w:vAlign w:val="center"/>
          </w:tcPr>
          <w:p w14:paraId="5792492D">
            <w:pPr>
              <w:rPr>
                <w:rFonts w:ascii="宋体" w:hAnsi="宋体"/>
                <w:szCs w:val="21"/>
              </w:rPr>
            </w:pPr>
            <w:r>
              <w:rPr>
                <w:rFonts w:hint="eastAsia" w:ascii="宋体" w:hAnsi="宋体"/>
                <w:szCs w:val="21"/>
              </w:rPr>
              <w:t>文件编制质量</w:t>
            </w:r>
          </w:p>
        </w:tc>
        <w:tc>
          <w:tcPr>
            <w:tcW w:w="4887" w:type="dxa"/>
            <w:vAlign w:val="center"/>
          </w:tcPr>
          <w:p w14:paraId="220E3444">
            <w:pPr>
              <w:rPr>
                <w:rFonts w:ascii="宋体" w:hAnsi="宋体"/>
                <w:szCs w:val="21"/>
              </w:rPr>
            </w:pPr>
            <w:r>
              <w:rPr>
                <w:rFonts w:hint="eastAsia" w:ascii="宋体" w:hAnsi="宋体" w:cs="宋体"/>
                <w:color w:val="000000"/>
                <w:szCs w:val="21"/>
              </w:rPr>
              <w:t>论证文件编写完整、清晰、规范，得5分，每有一个缺漏项扣1分，最低0分。</w:t>
            </w:r>
          </w:p>
        </w:tc>
        <w:tc>
          <w:tcPr>
            <w:tcW w:w="783" w:type="dxa"/>
            <w:vAlign w:val="center"/>
          </w:tcPr>
          <w:p w14:paraId="15F7E448">
            <w:pPr>
              <w:rPr>
                <w:rFonts w:ascii="宋体" w:hAnsi="宋体"/>
                <w:szCs w:val="21"/>
              </w:rPr>
            </w:pPr>
            <w:r>
              <w:rPr>
                <w:rFonts w:hint="eastAsia" w:ascii="宋体" w:hAnsi="宋体"/>
                <w:szCs w:val="21"/>
              </w:rPr>
              <w:t>5</w:t>
            </w:r>
          </w:p>
        </w:tc>
      </w:tr>
      <w:tr w14:paraId="29D9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4DA1CBFD">
            <w:pPr>
              <w:rPr>
                <w:rFonts w:ascii="宋体" w:hAnsi="宋体"/>
                <w:szCs w:val="21"/>
              </w:rPr>
            </w:pPr>
            <w:r>
              <w:rPr>
                <w:rFonts w:hint="eastAsia" w:ascii="宋体" w:hAnsi="宋体"/>
                <w:szCs w:val="21"/>
              </w:rPr>
              <w:t>2</w:t>
            </w:r>
          </w:p>
        </w:tc>
        <w:tc>
          <w:tcPr>
            <w:tcW w:w="1491" w:type="dxa"/>
            <w:vMerge w:val="continue"/>
            <w:vAlign w:val="center"/>
          </w:tcPr>
          <w:p w14:paraId="531B9089">
            <w:pPr>
              <w:rPr>
                <w:rFonts w:ascii="宋体" w:hAnsi="宋体"/>
                <w:szCs w:val="21"/>
              </w:rPr>
            </w:pPr>
          </w:p>
        </w:tc>
        <w:tc>
          <w:tcPr>
            <w:tcW w:w="1500" w:type="dxa"/>
            <w:vAlign w:val="center"/>
          </w:tcPr>
          <w:p w14:paraId="6384B9A0">
            <w:pPr>
              <w:rPr>
                <w:rFonts w:ascii="宋体" w:hAnsi="宋体"/>
                <w:szCs w:val="21"/>
              </w:rPr>
            </w:pPr>
            <w:r>
              <w:rPr>
                <w:rFonts w:hint="eastAsia" w:ascii="宋体" w:hAnsi="宋体"/>
                <w:szCs w:val="21"/>
              </w:rPr>
              <w:t>证书</w:t>
            </w:r>
          </w:p>
        </w:tc>
        <w:tc>
          <w:tcPr>
            <w:tcW w:w="4887" w:type="dxa"/>
            <w:vAlign w:val="center"/>
          </w:tcPr>
          <w:p w14:paraId="75D21181">
            <w:pPr>
              <w:rPr>
                <w:rFonts w:ascii="宋体" w:hAnsi="宋体"/>
                <w:szCs w:val="21"/>
              </w:rPr>
            </w:pPr>
            <w:r>
              <w:rPr>
                <w:rFonts w:hint="eastAsia" w:ascii="宋体" w:hAnsi="宋体"/>
                <w:szCs w:val="21"/>
              </w:rPr>
              <w:t>有效的质量管理体系（ISO9001 或GB/T19001）、信息安全管理体系（ISO27001 ）、信息安全服务资质（信息系统安全运维方向）</w:t>
            </w:r>
          </w:p>
          <w:p w14:paraId="16F66EA9">
            <w:pPr>
              <w:rPr>
                <w:rFonts w:ascii="宋体" w:hAnsi="宋体"/>
                <w:szCs w:val="21"/>
              </w:rPr>
            </w:pPr>
            <w:r>
              <w:rPr>
                <w:rFonts w:hint="eastAsia" w:ascii="宋体" w:hAnsi="宋体"/>
                <w:szCs w:val="21"/>
              </w:rPr>
              <w:t>认证证书扫描件，每有一项得 2分，最高6分。</w:t>
            </w:r>
          </w:p>
        </w:tc>
        <w:tc>
          <w:tcPr>
            <w:tcW w:w="783" w:type="dxa"/>
            <w:vAlign w:val="center"/>
          </w:tcPr>
          <w:p w14:paraId="07001959">
            <w:pPr>
              <w:rPr>
                <w:rFonts w:ascii="宋体" w:hAnsi="宋体"/>
                <w:szCs w:val="21"/>
              </w:rPr>
            </w:pPr>
            <w:r>
              <w:rPr>
                <w:rFonts w:hint="eastAsia" w:ascii="宋体" w:hAnsi="宋体"/>
                <w:szCs w:val="21"/>
              </w:rPr>
              <w:t>6</w:t>
            </w:r>
          </w:p>
        </w:tc>
      </w:tr>
      <w:tr w14:paraId="66D1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0868E96B">
            <w:pPr>
              <w:rPr>
                <w:rFonts w:ascii="宋体" w:hAnsi="宋体"/>
                <w:szCs w:val="21"/>
              </w:rPr>
            </w:pPr>
            <w:r>
              <w:rPr>
                <w:rFonts w:hint="eastAsia" w:ascii="宋体" w:hAnsi="宋体"/>
                <w:szCs w:val="21"/>
              </w:rPr>
              <w:t>3</w:t>
            </w:r>
          </w:p>
        </w:tc>
        <w:tc>
          <w:tcPr>
            <w:tcW w:w="1491" w:type="dxa"/>
            <w:vMerge w:val="continue"/>
            <w:vAlign w:val="center"/>
          </w:tcPr>
          <w:p w14:paraId="3BCF7102">
            <w:pPr>
              <w:rPr>
                <w:rFonts w:ascii="宋体" w:hAnsi="宋体"/>
                <w:szCs w:val="21"/>
              </w:rPr>
            </w:pPr>
          </w:p>
        </w:tc>
        <w:tc>
          <w:tcPr>
            <w:tcW w:w="1500" w:type="dxa"/>
            <w:vAlign w:val="center"/>
          </w:tcPr>
          <w:p w14:paraId="202F29FA">
            <w:pPr>
              <w:rPr>
                <w:rFonts w:ascii="宋体" w:hAnsi="宋体"/>
                <w:szCs w:val="21"/>
              </w:rPr>
            </w:pPr>
            <w:r>
              <w:rPr>
                <w:rFonts w:hint="eastAsia" w:ascii="宋体" w:hAnsi="宋体"/>
                <w:szCs w:val="21"/>
              </w:rPr>
              <w:t>业绩</w:t>
            </w:r>
          </w:p>
        </w:tc>
        <w:tc>
          <w:tcPr>
            <w:tcW w:w="4887" w:type="dxa"/>
            <w:vAlign w:val="center"/>
          </w:tcPr>
          <w:p w14:paraId="4C6A23E7">
            <w:pPr>
              <w:rPr>
                <w:rFonts w:ascii="宋体" w:hAnsi="宋体"/>
                <w:szCs w:val="21"/>
              </w:rPr>
            </w:pPr>
            <w:r>
              <w:rPr>
                <w:rFonts w:hint="eastAsia" w:ascii="宋体" w:hAnsi="宋体"/>
                <w:szCs w:val="21"/>
              </w:rPr>
              <w:t>根据响应人近三年（2022年1月）的硬件或机房运维服务等类似业绩进行评审，响应文件中应提供业绩合同复印件加盖单位公章，每提供1个业绩得3分，最高得9分。</w:t>
            </w:r>
          </w:p>
          <w:p w14:paraId="1EF024B8">
            <w:pPr>
              <w:rPr>
                <w:rFonts w:ascii="Arial" w:hAnsi="Arial" w:eastAsia="仿宋" w:cs="Arial"/>
                <w:color w:val="000000"/>
                <w:sz w:val="24"/>
                <w:szCs w:val="24"/>
              </w:rPr>
            </w:pPr>
            <w:r>
              <w:rPr>
                <w:rFonts w:hint="eastAsia" w:ascii="宋体" w:hAnsi="宋体"/>
                <w:szCs w:val="21"/>
              </w:rPr>
              <w:t>注：需提供采购合同复印件（至少包括首页、关键内容页、签字盖章页）并加盖公章，否则不予认可。</w:t>
            </w:r>
          </w:p>
        </w:tc>
        <w:tc>
          <w:tcPr>
            <w:tcW w:w="783" w:type="dxa"/>
            <w:vAlign w:val="center"/>
          </w:tcPr>
          <w:p w14:paraId="7DBD6B7A">
            <w:pPr>
              <w:rPr>
                <w:rFonts w:ascii="宋体" w:hAnsi="宋体"/>
                <w:szCs w:val="21"/>
              </w:rPr>
            </w:pPr>
            <w:r>
              <w:rPr>
                <w:rFonts w:hint="eastAsia" w:ascii="宋体" w:hAnsi="宋体"/>
                <w:szCs w:val="21"/>
              </w:rPr>
              <w:t>9</w:t>
            </w:r>
          </w:p>
        </w:tc>
      </w:tr>
      <w:tr w14:paraId="46A5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7D59BA4A">
            <w:pPr>
              <w:rPr>
                <w:rFonts w:ascii="宋体" w:hAnsi="宋体"/>
                <w:szCs w:val="21"/>
              </w:rPr>
            </w:pPr>
            <w:r>
              <w:rPr>
                <w:rFonts w:hint="eastAsia" w:ascii="宋体" w:hAnsi="宋体"/>
                <w:szCs w:val="21"/>
              </w:rPr>
              <w:t>4</w:t>
            </w:r>
          </w:p>
        </w:tc>
        <w:tc>
          <w:tcPr>
            <w:tcW w:w="1491" w:type="dxa"/>
            <w:vMerge w:val="restart"/>
            <w:vAlign w:val="center"/>
          </w:tcPr>
          <w:p w14:paraId="764CAD81">
            <w:pPr>
              <w:rPr>
                <w:rFonts w:ascii="宋体" w:hAnsi="宋体"/>
                <w:szCs w:val="21"/>
              </w:rPr>
            </w:pPr>
            <w:r>
              <w:rPr>
                <w:rFonts w:hint="eastAsia" w:ascii="宋体" w:hAnsi="宋体"/>
                <w:szCs w:val="21"/>
              </w:rPr>
              <w:t>技术部分（60分）</w:t>
            </w:r>
          </w:p>
        </w:tc>
        <w:tc>
          <w:tcPr>
            <w:tcW w:w="1500" w:type="dxa"/>
            <w:vAlign w:val="center"/>
          </w:tcPr>
          <w:p w14:paraId="76A91B2E">
            <w:pPr>
              <w:rPr>
                <w:rFonts w:ascii="宋体" w:hAnsi="宋体"/>
                <w:szCs w:val="21"/>
              </w:rPr>
            </w:pPr>
            <w:r>
              <w:rPr>
                <w:rFonts w:hint="eastAsia" w:ascii="宋体" w:hAnsi="宋体"/>
                <w:szCs w:val="21"/>
              </w:rPr>
              <w:t>条款应答情况</w:t>
            </w:r>
          </w:p>
        </w:tc>
        <w:tc>
          <w:tcPr>
            <w:tcW w:w="4887" w:type="dxa"/>
            <w:vAlign w:val="center"/>
          </w:tcPr>
          <w:p w14:paraId="5084B483">
            <w:pPr>
              <w:pStyle w:val="60"/>
              <w:spacing w:line="300" w:lineRule="exact"/>
              <w:rPr>
                <w:rFonts w:ascii="宋体" w:hAnsi="宋体" w:cs="宋体;SimSun"/>
                <w:sz w:val="21"/>
                <w:szCs w:val="21"/>
              </w:rPr>
            </w:pPr>
            <w:r>
              <w:rPr>
                <w:rFonts w:hint="eastAsia" w:ascii="宋体" w:hAnsi="宋体" w:cs="宋体;SimSun"/>
                <w:sz w:val="21"/>
                <w:szCs w:val="21"/>
              </w:rPr>
              <w:t xml:space="preserve">完全满足得16分，每有一项条款负偏离扣减2分，本项最低得0分。     </w:t>
            </w:r>
          </w:p>
        </w:tc>
        <w:tc>
          <w:tcPr>
            <w:tcW w:w="783" w:type="dxa"/>
            <w:vAlign w:val="center"/>
          </w:tcPr>
          <w:p w14:paraId="0E0DE8B9">
            <w:pPr>
              <w:rPr>
                <w:rFonts w:ascii="宋体" w:hAnsi="宋体"/>
                <w:szCs w:val="21"/>
              </w:rPr>
            </w:pPr>
            <w:r>
              <w:rPr>
                <w:rFonts w:hint="eastAsia" w:ascii="宋体" w:hAnsi="宋体"/>
                <w:szCs w:val="21"/>
              </w:rPr>
              <w:t>16</w:t>
            </w:r>
          </w:p>
        </w:tc>
      </w:tr>
      <w:tr w14:paraId="6189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5FDA7AAE">
            <w:pPr>
              <w:rPr>
                <w:rFonts w:ascii="宋体" w:hAnsi="宋体"/>
                <w:szCs w:val="21"/>
              </w:rPr>
            </w:pPr>
            <w:r>
              <w:rPr>
                <w:rFonts w:hint="eastAsia" w:ascii="宋体" w:hAnsi="宋体"/>
                <w:szCs w:val="21"/>
              </w:rPr>
              <w:t>5</w:t>
            </w:r>
          </w:p>
        </w:tc>
        <w:tc>
          <w:tcPr>
            <w:tcW w:w="1491" w:type="dxa"/>
            <w:vMerge w:val="continue"/>
            <w:vAlign w:val="center"/>
          </w:tcPr>
          <w:p w14:paraId="5BA161E4">
            <w:pPr>
              <w:rPr>
                <w:rFonts w:ascii="宋体" w:hAnsi="宋体"/>
                <w:szCs w:val="21"/>
              </w:rPr>
            </w:pPr>
          </w:p>
        </w:tc>
        <w:tc>
          <w:tcPr>
            <w:tcW w:w="1500" w:type="dxa"/>
            <w:vAlign w:val="center"/>
          </w:tcPr>
          <w:p w14:paraId="59354B42">
            <w:pPr>
              <w:rPr>
                <w:rFonts w:ascii="宋体" w:hAnsi="宋体"/>
                <w:szCs w:val="21"/>
              </w:rPr>
            </w:pPr>
            <w:r>
              <w:rPr>
                <w:rFonts w:hint="eastAsia" w:ascii="宋体" w:hAnsi="宋体"/>
                <w:szCs w:val="21"/>
              </w:rPr>
              <w:t>项目理解</w:t>
            </w:r>
          </w:p>
        </w:tc>
        <w:tc>
          <w:tcPr>
            <w:tcW w:w="4887" w:type="dxa"/>
            <w:vAlign w:val="center"/>
          </w:tcPr>
          <w:p w14:paraId="6C94FE3D">
            <w:pPr>
              <w:pStyle w:val="9"/>
            </w:pPr>
            <w:r>
              <w:rPr>
                <w:rFonts w:hint="eastAsia"/>
              </w:rPr>
              <w:t>对项目背景、目标、范围、关键需求、成功标准及潜在风险均有全面且深入的阐述。方案逻辑严谨，并且在时间、资源等方面具有很高的可行性，得</w:t>
            </w:r>
            <w:r>
              <w:t>1</w:t>
            </w:r>
            <w:r>
              <w:rPr>
                <w:rFonts w:hint="eastAsia"/>
              </w:rPr>
              <w:t>4分。</w:t>
            </w:r>
          </w:p>
          <w:p w14:paraId="2AEA4D24">
            <w:pPr>
              <w:pStyle w:val="9"/>
            </w:pPr>
            <w:r>
              <w:rPr>
                <w:rFonts w:hint="eastAsia"/>
              </w:rPr>
              <w:t>基本覆盖了项目的主要方面，但可能对某些细节（如特定风险或边缘需求）的阐述不够深入。</w:t>
            </w:r>
          </w:p>
          <w:p w14:paraId="799E35F7">
            <w:pPr>
              <w:pStyle w:val="9"/>
            </w:pPr>
            <w:r>
              <w:rPr>
                <w:rFonts w:hint="eastAsia"/>
              </w:rPr>
              <w:t>方案逻辑清晰，能够满足项目的基本要求和可行性，得</w:t>
            </w:r>
            <w:r>
              <w:t>7</w:t>
            </w:r>
            <w:r>
              <w:rPr>
                <w:rFonts w:hint="eastAsia"/>
              </w:rPr>
              <w:t>分。</w:t>
            </w:r>
          </w:p>
          <w:p w14:paraId="45894768">
            <w:pPr>
              <w:pStyle w:val="9"/>
            </w:pPr>
            <w:r>
              <w:rPr>
                <w:rFonts w:hint="eastAsia"/>
              </w:rPr>
              <w:t>仅对项目进行了概括性描述，缺少对关键细节和深层需求的分析。方案逻辑基本通顺，但可行性论证不足，得3分。</w:t>
            </w:r>
          </w:p>
          <w:p w14:paraId="3E85323B">
            <w:pPr>
              <w:pStyle w:val="60"/>
              <w:spacing w:line="300" w:lineRule="exact"/>
              <w:rPr>
                <w:rFonts w:ascii="宋体" w:hAnsi="宋体" w:cs="宋体;SimSun"/>
                <w:sz w:val="21"/>
                <w:szCs w:val="21"/>
              </w:rPr>
            </w:pPr>
            <w:r>
              <w:rPr>
                <w:rFonts w:hint="eastAsia"/>
              </w:rPr>
              <w:t>本项未提供的不得分；未提供不得分。</w:t>
            </w:r>
          </w:p>
        </w:tc>
        <w:tc>
          <w:tcPr>
            <w:tcW w:w="783" w:type="dxa"/>
            <w:vAlign w:val="center"/>
          </w:tcPr>
          <w:p w14:paraId="16E4C5EC">
            <w:pPr>
              <w:rPr>
                <w:rFonts w:ascii="宋体" w:hAnsi="宋体"/>
                <w:szCs w:val="21"/>
              </w:rPr>
            </w:pPr>
            <w:r>
              <w:rPr>
                <w:rFonts w:hint="eastAsia" w:ascii="宋体" w:hAnsi="宋体"/>
                <w:szCs w:val="21"/>
              </w:rPr>
              <w:t>14</w:t>
            </w:r>
          </w:p>
        </w:tc>
      </w:tr>
      <w:tr w14:paraId="4031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3" w:type="dxa"/>
            <w:vAlign w:val="center"/>
          </w:tcPr>
          <w:p w14:paraId="783D81FE">
            <w:pPr>
              <w:rPr>
                <w:rFonts w:ascii="宋体" w:hAnsi="宋体"/>
                <w:szCs w:val="21"/>
              </w:rPr>
            </w:pPr>
            <w:r>
              <w:rPr>
                <w:rFonts w:hint="eastAsia" w:ascii="宋体" w:hAnsi="宋体"/>
                <w:szCs w:val="21"/>
              </w:rPr>
              <w:t>6</w:t>
            </w:r>
          </w:p>
        </w:tc>
        <w:tc>
          <w:tcPr>
            <w:tcW w:w="1491" w:type="dxa"/>
            <w:vMerge w:val="continue"/>
            <w:vAlign w:val="center"/>
          </w:tcPr>
          <w:p w14:paraId="6AB0EA2D">
            <w:pPr>
              <w:rPr>
                <w:rFonts w:ascii="宋体" w:hAnsi="宋体"/>
                <w:szCs w:val="21"/>
              </w:rPr>
            </w:pPr>
          </w:p>
        </w:tc>
        <w:tc>
          <w:tcPr>
            <w:tcW w:w="1500" w:type="dxa"/>
            <w:vAlign w:val="center"/>
          </w:tcPr>
          <w:p w14:paraId="2014B8C2">
            <w:pPr>
              <w:rPr>
                <w:rFonts w:ascii="宋体" w:hAnsi="宋体"/>
                <w:szCs w:val="21"/>
              </w:rPr>
            </w:pPr>
            <w:r>
              <w:rPr>
                <w:rFonts w:hint="eastAsia" w:ascii="宋体" w:hAnsi="宋体"/>
                <w:szCs w:val="21"/>
              </w:rPr>
              <w:t>服务方案</w:t>
            </w:r>
          </w:p>
        </w:tc>
        <w:tc>
          <w:tcPr>
            <w:tcW w:w="4887" w:type="dxa"/>
            <w:vAlign w:val="center"/>
          </w:tcPr>
          <w:p w14:paraId="5600C058">
            <w:pPr>
              <w:pStyle w:val="9"/>
            </w:pPr>
            <w:r>
              <w:rPr>
                <w:rFonts w:hint="eastAsia"/>
              </w:rPr>
              <w:t>根据供应商应答文件中服务方案进行综合评审：</w:t>
            </w:r>
          </w:p>
          <w:p w14:paraId="75DFCFF3">
            <w:pPr>
              <w:pStyle w:val="9"/>
            </w:pPr>
            <w:r>
              <w:rPr>
                <w:rFonts w:hint="eastAsia"/>
              </w:rPr>
              <w:t>服务体系完整、服务质量管理制度、售后服务方式和故障处理流程清晰，响应时间、服务内容清晰得</w:t>
            </w:r>
            <w:r>
              <w:t>1</w:t>
            </w:r>
            <w:r>
              <w:rPr>
                <w:rFonts w:hint="eastAsia"/>
              </w:rPr>
              <w:t>5分；</w:t>
            </w:r>
          </w:p>
          <w:p w14:paraId="26399145">
            <w:pPr>
              <w:pStyle w:val="9"/>
            </w:pPr>
            <w:r>
              <w:rPr>
                <w:rFonts w:hint="eastAsia"/>
              </w:rPr>
              <w:t>服务体系较完整、服务质量管理制度、售后服务方式和故障处理流程交清晰，响应时间、服务内容清晰得10分；</w:t>
            </w:r>
          </w:p>
          <w:p w14:paraId="0986BE70">
            <w:pPr>
              <w:pStyle w:val="9"/>
            </w:pPr>
            <w:r>
              <w:rPr>
                <w:rFonts w:hint="eastAsia"/>
              </w:rPr>
              <w:t>服务体系不完整、服务质量管理制度、售后服务方式和故障处理流程不清晰，响应时间、服务内容不清晰得5分；</w:t>
            </w:r>
          </w:p>
          <w:p w14:paraId="11449546">
            <w:pPr>
              <w:rPr>
                <w:rFonts w:ascii="宋体" w:hAnsi="宋体"/>
                <w:szCs w:val="21"/>
                <w:highlight w:val="yellow"/>
              </w:rPr>
            </w:pPr>
            <w:r>
              <w:rPr>
                <w:rFonts w:hint="eastAsia"/>
              </w:rPr>
              <w:t>未提供不得分。</w:t>
            </w:r>
          </w:p>
        </w:tc>
        <w:tc>
          <w:tcPr>
            <w:tcW w:w="783" w:type="dxa"/>
            <w:vAlign w:val="center"/>
          </w:tcPr>
          <w:p w14:paraId="0F1F55F4">
            <w:pPr>
              <w:rPr>
                <w:rFonts w:ascii="宋体" w:hAnsi="宋体"/>
                <w:szCs w:val="21"/>
              </w:rPr>
            </w:pPr>
            <w:r>
              <w:rPr>
                <w:rFonts w:ascii="宋体" w:hAnsi="宋体"/>
                <w:szCs w:val="21"/>
              </w:rPr>
              <w:t>15</w:t>
            </w:r>
          </w:p>
        </w:tc>
      </w:tr>
      <w:tr w14:paraId="1319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653" w:type="dxa"/>
            <w:vAlign w:val="center"/>
          </w:tcPr>
          <w:p w14:paraId="3BD67A20">
            <w:pPr>
              <w:rPr>
                <w:rFonts w:ascii="宋体" w:hAnsi="宋体"/>
                <w:szCs w:val="21"/>
              </w:rPr>
            </w:pPr>
            <w:r>
              <w:rPr>
                <w:rFonts w:hint="eastAsia" w:ascii="宋体" w:hAnsi="宋体"/>
                <w:szCs w:val="21"/>
              </w:rPr>
              <w:t>7</w:t>
            </w:r>
          </w:p>
        </w:tc>
        <w:tc>
          <w:tcPr>
            <w:tcW w:w="1491" w:type="dxa"/>
            <w:vMerge w:val="continue"/>
            <w:vAlign w:val="center"/>
          </w:tcPr>
          <w:p w14:paraId="2E180015">
            <w:pPr>
              <w:rPr>
                <w:rFonts w:ascii="宋体" w:hAnsi="宋体"/>
                <w:szCs w:val="21"/>
              </w:rPr>
            </w:pPr>
          </w:p>
        </w:tc>
        <w:tc>
          <w:tcPr>
            <w:tcW w:w="1500" w:type="dxa"/>
            <w:vAlign w:val="center"/>
          </w:tcPr>
          <w:p w14:paraId="69C7F307">
            <w:pPr>
              <w:rPr>
                <w:rFonts w:ascii="宋体" w:hAnsi="宋体"/>
                <w:szCs w:val="21"/>
              </w:rPr>
            </w:pPr>
            <w:r>
              <w:rPr>
                <w:rFonts w:hint="eastAsia" w:ascii="宋体" w:hAnsi="宋体"/>
                <w:szCs w:val="21"/>
              </w:rPr>
              <w:t>人员配备</w:t>
            </w:r>
          </w:p>
        </w:tc>
        <w:tc>
          <w:tcPr>
            <w:tcW w:w="4887" w:type="dxa"/>
            <w:vAlign w:val="center"/>
          </w:tcPr>
          <w:p w14:paraId="36C345BC">
            <w:pPr>
              <w:pStyle w:val="9"/>
              <w:rPr>
                <w:rFonts w:ascii="Arial"/>
              </w:rPr>
            </w:pPr>
            <w:r>
              <w:rPr>
                <w:rFonts w:hint="eastAsia"/>
                <w:szCs w:val="21"/>
              </w:rPr>
              <w:t>本项目</w:t>
            </w:r>
            <w:r>
              <w:rPr>
                <w:szCs w:val="21"/>
              </w:rPr>
              <w:t>需拟</w:t>
            </w:r>
            <w:r>
              <w:rPr>
                <w:spacing w:val="-1"/>
                <w:szCs w:val="21"/>
              </w:rPr>
              <w:t xml:space="preserve">派 </w:t>
            </w:r>
            <w:r>
              <w:rPr>
                <w:rFonts w:hint="eastAsia"/>
                <w:spacing w:val="-1"/>
                <w:szCs w:val="21"/>
              </w:rPr>
              <w:t>1</w:t>
            </w:r>
            <w:r>
              <w:rPr>
                <w:spacing w:val="-1"/>
                <w:szCs w:val="21"/>
              </w:rPr>
              <w:t>名项目经理，具有大专以上学历（含</w:t>
            </w:r>
            <w:r>
              <w:rPr>
                <w:spacing w:val="-5"/>
                <w:szCs w:val="21"/>
              </w:rPr>
              <w:t>大专及同等学历</w:t>
            </w:r>
            <w:r>
              <w:rPr>
                <w:spacing w:val="2"/>
                <w:szCs w:val="21"/>
              </w:rPr>
              <w:t>），</w:t>
            </w:r>
            <w:r>
              <w:rPr>
                <w:rFonts w:hint="eastAsia"/>
              </w:rPr>
              <w:t>需要提供在中标企业3年以上工作证明，</w:t>
            </w:r>
            <w:r>
              <w:rPr>
                <w:spacing w:val="-5"/>
                <w:szCs w:val="21"/>
              </w:rPr>
              <w:t xml:space="preserve">得 </w:t>
            </w:r>
            <w:r>
              <w:rPr>
                <w:rFonts w:hint="eastAsia"/>
                <w:spacing w:val="-5"/>
                <w:szCs w:val="21"/>
              </w:rPr>
              <w:t>5</w:t>
            </w:r>
            <w:r>
              <w:rPr>
                <w:spacing w:val="-5"/>
                <w:szCs w:val="21"/>
              </w:rPr>
              <w:t>分；（依据学历证书扫描件）。</w:t>
            </w:r>
          </w:p>
          <w:p w14:paraId="7C57103D">
            <w:pPr>
              <w:rPr>
                <w:rFonts w:ascii="宋体" w:hAnsi="宋体"/>
                <w:szCs w:val="21"/>
                <w:highlight w:val="yellow"/>
              </w:rPr>
            </w:pPr>
            <w:r>
              <w:rPr>
                <w:spacing w:val="-1"/>
                <w:szCs w:val="21"/>
              </w:rPr>
              <w:t xml:space="preserve">注：需提供投标人为本项目的项目经理缴纳开标前 </w:t>
            </w:r>
            <w:r>
              <w:rPr>
                <w:rFonts w:ascii="Cambria" w:hAnsi="Cambria" w:eastAsia="Cambria" w:cs="Cambria"/>
                <w:spacing w:val="-1"/>
                <w:szCs w:val="21"/>
              </w:rPr>
              <w:t xml:space="preserve">12 </w:t>
            </w:r>
            <w:r>
              <w:rPr>
                <w:spacing w:val="-1"/>
                <w:szCs w:val="21"/>
              </w:rPr>
              <w:t xml:space="preserve">个月内至少 </w:t>
            </w:r>
            <w:r>
              <w:rPr>
                <w:rFonts w:hint="eastAsia"/>
                <w:spacing w:val="-1"/>
                <w:szCs w:val="21"/>
              </w:rPr>
              <w:t>1</w:t>
            </w:r>
            <w:r>
              <w:rPr>
                <w:spacing w:val="-1"/>
                <w:szCs w:val="21"/>
              </w:rPr>
              <w:t>个月社保的证明材</w:t>
            </w:r>
            <w:r>
              <w:rPr>
                <w:spacing w:val="-4"/>
                <w:szCs w:val="21"/>
              </w:rPr>
              <w:t>料，否则该项不得分。</w:t>
            </w:r>
          </w:p>
        </w:tc>
        <w:tc>
          <w:tcPr>
            <w:tcW w:w="783" w:type="dxa"/>
            <w:vAlign w:val="center"/>
          </w:tcPr>
          <w:p w14:paraId="3316F749">
            <w:pPr>
              <w:rPr>
                <w:rFonts w:ascii="宋体" w:hAnsi="宋体"/>
                <w:szCs w:val="21"/>
                <w:highlight w:val="yellow"/>
              </w:rPr>
            </w:pPr>
            <w:r>
              <w:rPr>
                <w:rFonts w:hint="eastAsia" w:ascii="宋体" w:hAnsi="宋体"/>
                <w:szCs w:val="21"/>
              </w:rPr>
              <w:t>5</w:t>
            </w:r>
          </w:p>
        </w:tc>
      </w:tr>
      <w:tr w14:paraId="117D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3" w:type="dxa"/>
            <w:vAlign w:val="center"/>
          </w:tcPr>
          <w:p w14:paraId="5465F45F">
            <w:pPr>
              <w:rPr>
                <w:rFonts w:ascii="宋体" w:hAnsi="宋体"/>
                <w:szCs w:val="21"/>
              </w:rPr>
            </w:pPr>
            <w:r>
              <w:rPr>
                <w:rFonts w:hint="eastAsia" w:ascii="宋体" w:hAnsi="宋体"/>
                <w:szCs w:val="21"/>
              </w:rPr>
              <w:t>8</w:t>
            </w:r>
          </w:p>
        </w:tc>
        <w:tc>
          <w:tcPr>
            <w:tcW w:w="1491" w:type="dxa"/>
            <w:vMerge w:val="continue"/>
            <w:vAlign w:val="center"/>
          </w:tcPr>
          <w:p w14:paraId="665CB51B">
            <w:pPr>
              <w:rPr>
                <w:rFonts w:ascii="宋体" w:hAnsi="宋体"/>
                <w:szCs w:val="21"/>
              </w:rPr>
            </w:pPr>
          </w:p>
        </w:tc>
        <w:tc>
          <w:tcPr>
            <w:tcW w:w="1500" w:type="dxa"/>
            <w:vAlign w:val="center"/>
          </w:tcPr>
          <w:p w14:paraId="0D9CA96C">
            <w:pPr>
              <w:rPr>
                <w:rFonts w:ascii="宋体" w:hAnsi="宋体"/>
                <w:szCs w:val="21"/>
              </w:rPr>
            </w:pPr>
            <w:r>
              <w:rPr>
                <w:rFonts w:hint="eastAsia" w:ascii="宋体" w:hAnsi="宋体"/>
                <w:szCs w:val="21"/>
              </w:rPr>
              <w:t>培训方案</w:t>
            </w:r>
          </w:p>
        </w:tc>
        <w:tc>
          <w:tcPr>
            <w:tcW w:w="4887" w:type="dxa"/>
            <w:vAlign w:val="center"/>
          </w:tcPr>
          <w:p w14:paraId="4E1C5B31">
            <w:pPr>
              <w:pStyle w:val="9"/>
            </w:pPr>
            <w:r>
              <w:rPr>
                <w:rFonts w:hint="eastAsia"/>
              </w:rPr>
              <w:t>根据供应商应答文件中培训方案进行综合评审：</w:t>
            </w:r>
          </w:p>
          <w:p w14:paraId="30E3412A">
            <w:pPr>
              <w:pStyle w:val="9"/>
            </w:pPr>
            <w:r>
              <w:rPr>
                <w:rFonts w:hint="eastAsia"/>
              </w:rPr>
              <w:t>方案非常详尽，培训计划非常详细、培训内容十分明确、培训人员和保障措施非常完善的得10分；</w:t>
            </w:r>
          </w:p>
          <w:p w14:paraId="1947C459">
            <w:pPr>
              <w:pStyle w:val="9"/>
            </w:pPr>
            <w:r>
              <w:rPr>
                <w:rFonts w:hint="eastAsia"/>
              </w:rPr>
              <w:t>方案详实，培训计划详细、培训内容明确、培训人员和保障措施完整的得6分；</w:t>
            </w:r>
          </w:p>
          <w:p w14:paraId="714446DF">
            <w:pPr>
              <w:pStyle w:val="9"/>
            </w:pPr>
            <w:r>
              <w:rPr>
                <w:rFonts w:hint="eastAsia"/>
              </w:rPr>
              <w:t xml:space="preserve">方案一般，有培训计划、培训内容、培训人员和保障措施的 得 </w:t>
            </w:r>
            <w:r>
              <w:t>2</w:t>
            </w:r>
            <w:r>
              <w:rPr>
                <w:rFonts w:hint="eastAsia"/>
              </w:rPr>
              <w:t>分；</w:t>
            </w:r>
          </w:p>
          <w:p w14:paraId="635FD039">
            <w:pPr>
              <w:rPr>
                <w:rFonts w:ascii="宋体" w:hAnsi="宋体"/>
                <w:szCs w:val="21"/>
              </w:rPr>
            </w:pPr>
            <w:r>
              <w:rPr>
                <w:rFonts w:hint="eastAsia"/>
              </w:rPr>
              <w:t>本项未提供的不得分。</w:t>
            </w:r>
          </w:p>
        </w:tc>
        <w:tc>
          <w:tcPr>
            <w:tcW w:w="783" w:type="dxa"/>
            <w:vAlign w:val="center"/>
          </w:tcPr>
          <w:p w14:paraId="6DC3F43E">
            <w:pPr>
              <w:rPr>
                <w:rFonts w:ascii="宋体" w:hAnsi="宋体"/>
                <w:szCs w:val="21"/>
              </w:rPr>
            </w:pPr>
            <w:r>
              <w:rPr>
                <w:rFonts w:hint="eastAsia" w:ascii="宋体" w:hAnsi="宋体"/>
                <w:szCs w:val="21"/>
              </w:rPr>
              <w:t>10</w:t>
            </w:r>
          </w:p>
        </w:tc>
      </w:tr>
      <w:tr w14:paraId="3DB4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vAlign w:val="center"/>
          </w:tcPr>
          <w:p w14:paraId="27954362">
            <w:pPr>
              <w:rPr>
                <w:rFonts w:ascii="宋体" w:hAnsi="宋体"/>
                <w:szCs w:val="21"/>
              </w:rPr>
            </w:pPr>
            <w:r>
              <w:rPr>
                <w:rFonts w:hint="eastAsia" w:ascii="宋体" w:hAnsi="宋体"/>
                <w:szCs w:val="21"/>
              </w:rPr>
              <w:t>9</w:t>
            </w:r>
          </w:p>
        </w:tc>
        <w:tc>
          <w:tcPr>
            <w:tcW w:w="1491" w:type="dxa"/>
            <w:vAlign w:val="center"/>
          </w:tcPr>
          <w:p w14:paraId="2446E144">
            <w:pPr>
              <w:rPr>
                <w:rFonts w:ascii="宋体" w:hAnsi="宋体"/>
                <w:szCs w:val="21"/>
              </w:rPr>
            </w:pPr>
            <w:r>
              <w:rPr>
                <w:rFonts w:hint="eastAsia" w:ascii="宋体" w:hAnsi="宋体"/>
                <w:szCs w:val="21"/>
              </w:rPr>
              <w:t>价格部分（2</w:t>
            </w:r>
            <w:r>
              <w:rPr>
                <w:rFonts w:ascii="宋体" w:hAnsi="宋体"/>
                <w:szCs w:val="21"/>
              </w:rPr>
              <w:t>0</w:t>
            </w:r>
            <w:r>
              <w:rPr>
                <w:rFonts w:hint="eastAsia" w:ascii="宋体" w:hAnsi="宋体"/>
                <w:szCs w:val="21"/>
              </w:rPr>
              <w:t>分）</w:t>
            </w:r>
          </w:p>
        </w:tc>
        <w:tc>
          <w:tcPr>
            <w:tcW w:w="1500" w:type="dxa"/>
            <w:vAlign w:val="center"/>
          </w:tcPr>
          <w:p w14:paraId="4E3CBF4D">
            <w:pPr>
              <w:rPr>
                <w:rFonts w:ascii="宋体" w:hAnsi="宋体"/>
                <w:szCs w:val="21"/>
              </w:rPr>
            </w:pPr>
            <w:r>
              <w:rPr>
                <w:rFonts w:hint="eastAsia" w:ascii="宋体" w:hAnsi="宋体"/>
                <w:szCs w:val="21"/>
              </w:rPr>
              <w:t>报价</w:t>
            </w:r>
          </w:p>
        </w:tc>
        <w:tc>
          <w:tcPr>
            <w:tcW w:w="4887" w:type="dxa"/>
            <w:vAlign w:val="center"/>
          </w:tcPr>
          <w:p w14:paraId="0B83BF66">
            <w:pPr>
              <w:rPr>
                <w:rFonts w:ascii="宋体" w:hAnsi="宋体"/>
                <w:sz w:val="24"/>
                <w:szCs w:val="24"/>
              </w:rPr>
            </w:pPr>
            <w:r>
              <w:rPr>
                <w:rFonts w:ascii="宋体" w:hAnsi="宋体"/>
                <w:sz w:val="24"/>
                <w:szCs w:val="24"/>
              </w:rPr>
              <w:t>价格得分=（评审基准价/报价）×价格权重（</w:t>
            </w:r>
            <w:r>
              <w:rPr>
                <w:rFonts w:hint="eastAsia" w:ascii="宋体" w:hAnsi="宋体"/>
                <w:sz w:val="24"/>
                <w:szCs w:val="24"/>
              </w:rPr>
              <w:t>20</w:t>
            </w:r>
            <w:r>
              <w:rPr>
                <w:rFonts w:ascii="宋体" w:hAnsi="宋体"/>
                <w:sz w:val="24"/>
                <w:szCs w:val="24"/>
              </w:rPr>
              <w:t>%）×100（保留2位小数）</w:t>
            </w:r>
          </w:p>
          <w:p w14:paraId="58525809">
            <w:pPr>
              <w:rPr>
                <w:rFonts w:ascii="宋体" w:hAnsi="宋体"/>
                <w:kern w:val="2"/>
                <w:sz w:val="24"/>
                <w:szCs w:val="24"/>
              </w:rPr>
            </w:pPr>
            <w:r>
              <w:rPr>
                <w:rFonts w:ascii="宋体" w:hAnsi="宋体"/>
                <w:sz w:val="24"/>
                <w:szCs w:val="24"/>
              </w:rPr>
              <w:t>备注：实质性响应采购文件要求且价格最低的报价为评审基准价。</w:t>
            </w:r>
          </w:p>
          <w:p w14:paraId="6A084302">
            <w:pPr>
              <w:rPr>
                <w:rFonts w:ascii="宋体" w:hAnsi="宋体"/>
                <w:szCs w:val="21"/>
              </w:rPr>
            </w:pPr>
          </w:p>
        </w:tc>
        <w:tc>
          <w:tcPr>
            <w:tcW w:w="783" w:type="dxa"/>
            <w:vAlign w:val="center"/>
          </w:tcPr>
          <w:p w14:paraId="59FF9996">
            <w:pPr>
              <w:rPr>
                <w:rFonts w:ascii="宋体" w:hAnsi="宋体"/>
                <w:szCs w:val="21"/>
              </w:rPr>
            </w:pPr>
            <w:r>
              <w:rPr>
                <w:rFonts w:hint="eastAsia" w:ascii="宋体" w:hAnsi="宋体"/>
                <w:szCs w:val="21"/>
              </w:rPr>
              <w:t>2</w:t>
            </w:r>
            <w:r>
              <w:rPr>
                <w:rFonts w:ascii="宋体" w:hAnsi="宋体"/>
                <w:szCs w:val="21"/>
              </w:rPr>
              <w:t>0</w:t>
            </w:r>
          </w:p>
        </w:tc>
      </w:tr>
    </w:tbl>
    <w:p w14:paraId="3E2FE3D4"/>
    <w:sectPr>
      <w:headerReference r:id="rId12" w:type="default"/>
      <w:pgSz w:w="11907" w:h="16840"/>
      <w:pgMar w:top="1814" w:right="1588" w:bottom="1588" w:left="1588" w:header="851" w:footer="737" w:gutter="0"/>
      <w:pgNumType w:fmt="decimal"/>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A00002EF" w:usb1="4000004B" w:usb2="00000000" w:usb3="00000000" w:csb0="2000009F" w:csb1="00000000"/>
  </w:font>
  <w:font w:name="新宋体">
    <w:panose1 w:val="02010609030101010101"/>
    <w:charset w:val="86"/>
    <w:family w:val="modern"/>
    <w:pitch w:val="default"/>
    <w:sig w:usb0="00000003" w:usb1="288F0000" w:usb2="00000006" w:usb3="00000000" w:csb0="00040001" w:csb1="0000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4"/>
      <w:tblW w:w="9710" w:type="dxa"/>
      <w:tblInd w:w="5" w:type="dxa"/>
      <w:tblBorders>
        <w:top w:val="single" w:color="B1C0CD" w:sz="2" w:space="0"/>
        <w:left w:val="single" w:color="FFFFFF" w:sz="4" w:space="0"/>
        <w:bottom w:val="none" w:color="auto" w:sz="0" w:space="0"/>
        <w:right w:val="single" w:color="FFFFFF" w:sz="2" w:space="0"/>
        <w:insideH w:val="none" w:color="auto" w:sz="0" w:space="0"/>
        <w:insideV w:val="none" w:color="auto" w:sz="0" w:space="0"/>
      </w:tblBorders>
      <w:tblLayout w:type="fixed"/>
      <w:tblCellMar>
        <w:top w:w="0" w:type="dxa"/>
        <w:left w:w="0" w:type="dxa"/>
        <w:bottom w:w="0" w:type="dxa"/>
        <w:right w:w="0" w:type="dxa"/>
      </w:tblCellMar>
    </w:tblPr>
    <w:tblGrid>
      <w:gridCol w:w="9710"/>
    </w:tblGrid>
    <w:tr w14:paraId="7CB001B4">
      <w:tblPrEx>
        <w:tblBorders>
          <w:top w:val="single" w:color="B1C0CD" w:sz="2" w:space="0"/>
          <w:left w:val="single" w:color="FFFFFF" w:sz="4" w:space="0"/>
          <w:bottom w:val="none" w:color="auto" w:sz="0" w:space="0"/>
          <w:right w:val="single" w:color="FFFFFF" w:sz="2" w:space="0"/>
          <w:insideH w:val="none" w:color="auto" w:sz="0" w:space="0"/>
          <w:insideV w:val="none" w:color="auto" w:sz="0" w:space="0"/>
        </w:tblBorders>
        <w:tblCellMar>
          <w:top w:w="0" w:type="dxa"/>
          <w:left w:w="0" w:type="dxa"/>
          <w:bottom w:w="0" w:type="dxa"/>
          <w:right w:w="0" w:type="dxa"/>
        </w:tblCellMar>
      </w:tblPrEx>
      <w:trPr>
        <w:trHeight w:val="359" w:hRule="atLeast"/>
      </w:trPr>
      <w:tc>
        <w:tcPr>
          <w:tcW w:w="9710" w:type="dxa"/>
        </w:tcPr>
        <w:p w14:paraId="4064F8F7">
          <w:pPr>
            <w:spacing w:before="171" w:line="173" w:lineRule="auto"/>
            <w:ind w:left="4748"/>
            <w:rPr>
              <w:rFonts w:ascii="Cambria" w:hAnsi="Cambria" w:eastAsia="Cambria" w:cs="Cambria"/>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2E61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522E619">
                          <w:pPr>
                            <w:pStyle w:val="16"/>
                          </w:pPr>
                          <w:r>
                            <w:fldChar w:fldCharType="begin"/>
                          </w:r>
                          <w:r>
                            <w:instrText xml:space="preserve"> PAGE  \* MERGEFORMAT </w:instrText>
                          </w:r>
                          <w:r>
                            <w:fldChar w:fldCharType="separate"/>
                          </w:r>
                          <w:r>
                            <w:t>1</w:t>
                          </w:r>
                          <w:r>
                            <w:fldChar w:fldCharType="end"/>
                          </w:r>
                        </w:p>
                      </w:txbxContent>
                    </v:textbox>
                  </v:shape>
                </w:pict>
              </mc:Fallback>
            </mc:AlternateContent>
          </w:r>
        </w:p>
      </w:tc>
    </w:tr>
  </w:tbl>
  <w:p w14:paraId="073E5EC4">
    <w:pPr>
      <w:pStyle w:val="6"/>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B6E55">
    <w:pPr>
      <w:pStyle w:val="6"/>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4F874">
                          <w:pPr>
                            <w:pStyle w:val="1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44F874">
                    <w:pPr>
                      <w:pStyle w:val="1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56B2">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DE26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8EDE265">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4741CA7F">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8F089">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595A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2EB595AA">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123084F3">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7D84E">
    <w:pPr>
      <w:spacing w:before="59" w:line="169" w:lineRule="auto"/>
      <w:ind w:left="441"/>
      <w:rPr>
        <w:rFonts w:ascii="微软雅黑" w:hAnsi="微软雅黑" w:eastAsia="微软雅黑" w:cs="微软雅黑"/>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D7CC">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B2A69">
    <w:pPr>
      <w:pStyle w:val="17"/>
      <w:jc w:val="left"/>
      <w:rPr>
        <w:rFonts w:ascii="黑体" w:eastAsia="黑体"/>
        <w:sz w:val="21"/>
        <w:szCs w:val="21"/>
      </w:rPr>
    </w:pPr>
    <w:r>
      <w:rPr>
        <w:rFonts w:hint="eastAsia" w:ascii="宋体" w:hAnsi="宋体"/>
      </w:rPr>
      <w:t>采购文件                                                                               附件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F24D6">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00000001"/>
    <w:multiLevelType w:val="multilevel"/>
    <w:tmpl w:val="00000001"/>
    <w:lvl w:ilvl="0" w:tentative="0">
      <w:start w:val="1"/>
      <w:numFmt w:val="decimal"/>
      <w:pStyle w:val="6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B3856CC"/>
    <w:multiLevelType w:val="multilevel"/>
    <w:tmpl w:val="1B3856C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B12532"/>
    <w:multiLevelType w:val="multilevel"/>
    <w:tmpl w:val="29B125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AFA2696"/>
    <w:multiLevelType w:val="singleLevel"/>
    <w:tmpl w:val="2AFA2696"/>
    <w:lvl w:ilvl="0" w:tentative="0">
      <w:start w:val="1"/>
      <w:numFmt w:val="chineseCounting"/>
      <w:suff w:val="space"/>
      <w:lvlText w:val="第%1部分"/>
      <w:lvlJc w:val="left"/>
      <w:rPr>
        <w:rFonts w:hint="eastAsia"/>
      </w:rPr>
    </w:lvl>
  </w:abstractNum>
  <w:abstractNum w:abstractNumId="5">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5"/>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6">
    <w:nsid w:val="417D13EC"/>
    <w:multiLevelType w:val="multilevel"/>
    <w:tmpl w:val="417D13EC"/>
    <w:lvl w:ilvl="0" w:tentative="0">
      <w:start w:val="1"/>
      <w:numFmt w:val="chineseCountingThousand"/>
      <w:lvlText w:val="%1、"/>
      <w:lvlJc w:val="left"/>
      <w:pPr>
        <w:ind w:left="865" w:hanging="420"/>
      </w:pPr>
    </w:lvl>
    <w:lvl w:ilvl="1" w:tentative="0">
      <w:start w:val="1"/>
      <w:numFmt w:val="lowerLetter"/>
      <w:lvlText w:val="%2)"/>
      <w:lvlJc w:val="left"/>
      <w:pPr>
        <w:ind w:left="1285" w:hanging="420"/>
      </w:pPr>
    </w:lvl>
    <w:lvl w:ilvl="2" w:tentative="0">
      <w:start w:val="1"/>
      <w:numFmt w:val="lowerRoman"/>
      <w:lvlText w:val="%3."/>
      <w:lvlJc w:val="right"/>
      <w:pPr>
        <w:ind w:left="1705" w:hanging="420"/>
      </w:pPr>
    </w:lvl>
    <w:lvl w:ilvl="3" w:tentative="0">
      <w:start w:val="1"/>
      <w:numFmt w:val="decimal"/>
      <w:lvlText w:val="%4."/>
      <w:lvlJc w:val="left"/>
      <w:pPr>
        <w:ind w:left="2125" w:hanging="420"/>
      </w:pPr>
    </w:lvl>
    <w:lvl w:ilvl="4" w:tentative="0">
      <w:start w:val="1"/>
      <w:numFmt w:val="lowerLetter"/>
      <w:lvlText w:val="%5)"/>
      <w:lvlJc w:val="left"/>
      <w:pPr>
        <w:ind w:left="2545" w:hanging="420"/>
      </w:pPr>
    </w:lvl>
    <w:lvl w:ilvl="5" w:tentative="0">
      <w:start w:val="1"/>
      <w:numFmt w:val="lowerRoman"/>
      <w:lvlText w:val="%6."/>
      <w:lvlJc w:val="right"/>
      <w:pPr>
        <w:ind w:left="2965" w:hanging="420"/>
      </w:pPr>
    </w:lvl>
    <w:lvl w:ilvl="6" w:tentative="0">
      <w:start w:val="1"/>
      <w:numFmt w:val="decimal"/>
      <w:lvlText w:val="%7."/>
      <w:lvlJc w:val="left"/>
      <w:pPr>
        <w:ind w:left="3385" w:hanging="420"/>
      </w:pPr>
    </w:lvl>
    <w:lvl w:ilvl="7" w:tentative="0">
      <w:start w:val="1"/>
      <w:numFmt w:val="lowerLetter"/>
      <w:lvlText w:val="%8)"/>
      <w:lvlJc w:val="left"/>
      <w:pPr>
        <w:ind w:left="3805" w:hanging="420"/>
      </w:pPr>
    </w:lvl>
    <w:lvl w:ilvl="8" w:tentative="0">
      <w:start w:val="1"/>
      <w:numFmt w:val="lowerRoman"/>
      <w:lvlText w:val="%9."/>
      <w:lvlJc w:val="right"/>
      <w:pPr>
        <w:ind w:left="4225" w:hanging="420"/>
      </w:pPr>
    </w:lvl>
  </w:abstractNum>
  <w:abstractNum w:abstractNumId="7">
    <w:nsid w:val="5482FD8A"/>
    <w:multiLevelType w:val="singleLevel"/>
    <w:tmpl w:val="5482FD8A"/>
    <w:lvl w:ilvl="0" w:tentative="0">
      <w:start w:val="1"/>
      <w:numFmt w:val="decimal"/>
      <w:suff w:val="nothing"/>
      <w:lvlText w:val="%1、"/>
      <w:lvlJc w:val="left"/>
      <w:pPr>
        <w:ind w:left="0" w:firstLine="0"/>
      </w:pPr>
      <w:rPr>
        <w:rFonts w:hint="eastAsia"/>
      </w:rPr>
    </w:lvl>
  </w:abstractNum>
  <w:abstractNum w:abstractNumId="8">
    <w:nsid w:val="5482FF96"/>
    <w:multiLevelType w:val="singleLevel"/>
    <w:tmpl w:val="5482FF96"/>
    <w:lvl w:ilvl="0" w:tentative="0">
      <w:start w:val="1"/>
      <w:numFmt w:val="decimal"/>
      <w:suff w:val="nothing"/>
      <w:lvlText w:val="%1、"/>
      <w:lvlJc w:val="left"/>
    </w:lvl>
  </w:abstractNum>
  <w:abstractNum w:abstractNumId="9">
    <w:nsid w:val="59F6D0D3"/>
    <w:multiLevelType w:val="singleLevel"/>
    <w:tmpl w:val="59F6D0D3"/>
    <w:lvl w:ilvl="0" w:tentative="0">
      <w:start w:val="1"/>
      <w:numFmt w:val="chineseCounting"/>
      <w:suff w:val="nothing"/>
      <w:lvlText w:val="%1、"/>
      <w:lvlJc w:val="left"/>
    </w:lvl>
  </w:abstractNum>
  <w:abstractNum w:abstractNumId="10">
    <w:nsid w:val="5F7DBD65"/>
    <w:multiLevelType w:val="singleLevel"/>
    <w:tmpl w:val="5F7DBD65"/>
    <w:lvl w:ilvl="0" w:tentative="0">
      <w:start w:val="1"/>
      <w:numFmt w:val="decimal"/>
      <w:lvlText w:val="%1."/>
      <w:lvlJc w:val="left"/>
      <w:pPr>
        <w:tabs>
          <w:tab w:val="left" w:pos="312"/>
        </w:tabs>
      </w:pPr>
    </w:lvl>
  </w:abstractNum>
  <w:abstractNum w:abstractNumId="11">
    <w:nsid w:val="6E5E583B"/>
    <w:multiLevelType w:val="singleLevel"/>
    <w:tmpl w:val="6E5E583B"/>
    <w:lvl w:ilvl="0" w:tentative="0">
      <w:start w:val="5"/>
      <w:numFmt w:val="decimal"/>
      <w:lvlText w:val="%1."/>
      <w:lvlJc w:val="left"/>
      <w:pPr>
        <w:tabs>
          <w:tab w:val="left" w:pos="312"/>
        </w:tabs>
      </w:pPr>
    </w:lvl>
  </w:abstractNum>
  <w:abstractNum w:abstractNumId="12">
    <w:nsid w:val="73ED104F"/>
    <w:multiLevelType w:val="multilevel"/>
    <w:tmpl w:val="73ED104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6529598"/>
    <w:multiLevelType w:val="singleLevel"/>
    <w:tmpl w:val="76529598"/>
    <w:lvl w:ilvl="0" w:tentative="0">
      <w:start w:val="4"/>
      <w:numFmt w:val="chineseCounting"/>
      <w:suff w:val="nothing"/>
      <w:lvlText w:val="%1、"/>
      <w:lvlJc w:val="left"/>
      <w:rPr>
        <w:rFonts w:hint="eastAsia"/>
      </w:rPr>
    </w:lvl>
  </w:abstractNum>
  <w:num w:numId="1">
    <w:abstractNumId w:val="5"/>
  </w:num>
  <w:num w:numId="2">
    <w:abstractNumId w:val="1"/>
  </w:num>
  <w:num w:numId="3">
    <w:abstractNumId w:val="4"/>
  </w:num>
  <w:num w:numId="4">
    <w:abstractNumId w:val="10"/>
  </w:num>
  <w:num w:numId="5">
    <w:abstractNumId w:val="11"/>
  </w:num>
  <w:num w:numId="6">
    <w:abstractNumId w:val="0"/>
  </w:num>
  <w:num w:numId="7">
    <w:abstractNumId w:val="6"/>
  </w:num>
  <w:num w:numId="8">
    <w:abstractNumId w:val="13"/>
  </w:num>
  <w:num w:numId="9">
    <w:abstractNumId w:val="3"/>
  </w:num>
  <w:num w:numId="10">
    <w:abstractNumId w:val="12"/>
  </w:num>
  <w:num w:numId="11">
    <w:abstractNumId w:val="7"/>
  </w:num>
  <w:num w:numId="12">
    <w:abstractNumId w:val="8"/>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OTY2Yjk5YmY5ZjE1YjA4NjVjMzI5ZGExNDY1ZWYifQ=="/>
  </w:docVars>
  <w:rsids>
    <w:rsidRoot w:val="00172A27"/>
    <w:rsid w:val="00004D8E"/>
    <w:rsid w:val="00016D42"/>
    <w:rsid w:val="00032D36"/>
    <w:rsid w:val="00033C4C"/>
    <w:rsid w:val="0003522F"/>
    <w:rsid w:val="000373BB"/>
    <w:rsid w:val="0003752E"/>
    <w:rsid w:val="000438DB"/>
    <w:rsid w:val="00057B40"/>
    <w:rsid w:val="000717E8"/>
    <w:rsid w:val="0008607F"/>
    <w:rsid w:val="000955D0"/>
    <w:rsid w:val="000A4997"/>
    <w:rsid w:val="000A5318"/>
    <w:rsid w:val="000C2E9C"/>
    <w:rsid w:val="000C539E"/>
    <w:rsid w:val="000C6998"/>
    <w:rsid w:val="000C7B59"/>
    <w:rsid w:val="000D3B10"/>
    <w:rsid w:val="000D5676"/>
    <w:rsid w:val="000E09B5"/>
    <w:rsid w:val="000E54AB"/>
    <w:rsid w:val="000F32C4"/>
    <w:rsid w:val="000F4CE6"/>
    <w:rsid w:val="000F63F0"/>
    <w:rsid w:val="00102D2C"/>
    <w:rsid w:val="00107118"/>
    <w:rsid w:val="00114184"/>
    <w:rsid w:val="00117399"/>
    <w:rsid w:val="00121368"/>
    <w:rsid w:val="001263FE"/>
    <w:rsid w:val="001312FB"/>
    <w:rsid w:val="00131BEF"/>
    <w:rsid w:val="001349A8"/>
    <w:rsid w:val="00152509"/>
    <w:rsid w:val="00154CC6"/>
    <w:rsid w:val="0015757E"/>
    <w:rsid w:val="00157A3C"/>
    <w:rsid w:val="001625A1"/>
    <w:rsid w:val="00172A27"/>
    <w:rsid w:val="001778CA"/>
    <w:rsid w:val="001A1FF2"/>
    <w:rsid w:val="001B67E6"/>
    <w:rsid w:val="001B693F"/>
    <w:rsid w:val="001D10E9"/>
    <w:rsid w:val="001D131B"/>
    <w:rsid w:val="00204ED9"/>
    <w:rsid w:val="00205879"/>
    <w:rsid w:val="00216C26"/>
    <w:rsid w:val="002208FD"/>
    <w:rsid w:val="002260AE"/>
    <w:rsid w:val="00226895"/>
    <w:rsid w:val="00226AFA"/>
    <w:rsid w:val="002308E9"/>
    <w:rsid w:val="002314B9"/>
    <w:rsid w:val="00237309"/>
    <w:rsid w:val="00242C9D"/>
    <w:rsid w:val="002536BB"/>
    <w:rsid w:val="0025628F"/>
    <w:rsid w:val="00257CCE"/>
    <w:rsid w:val="00261ECC"/>
    <w:rsid w:val="00263232"/>
    <w:rsid w:val="0027737C"/>
    <w:rsid w:val="00294F38"/>
    <w:rsid w:val="002A350B"/>
    <w:rsid w:val="002B1E90"/>
    <w:rsid w:val="002D2410"/>
    <w:rsid w:val="002E191C"/>
    <w:rsid w:val="002E2710"/>
    <w:rsid w:val="002F1C84"/>
    <w:rsid w:val="002F55C6"/>
    <w:rsid w:val="00312FF7"/>
    <w:rsid w:val="0033024C"/>
    <w:rsid w:val="00332E7D"/>
    <w:rsid w:val="003359BF"/>
    <w:rsid w:val="00335B9B"/>
    <w:rsid w:val="003558C1"/>
    <w:rsid w:val="00356FA9"/>
    <w:rsid w:val="00362FEA"/>
    <w:rsid w:val="00364945"/>
    <w:rsid w:val="00367A27"/>
    <w:rsid w:val="00373610"/>
    <w:rsid w:val="003839AD"/>
    <w:rsid w:val="00385F85"/>
    <w:rsid w:val="003941F9"/>
    <w:rsid w:val="003A1CCE"/>
    <w:rsid w:val="003A5D22"/>
    <w:rsid w:val="003B5B73"/>
    <w:rsid w:val="003C1293"/>
    <w:rsid w:val="003C32A2"/>
    <w:rsid w:val="003D41DD"/>
    <w:rsid w:val="003D460D"/>
    <w:rsid w:val="003E2B57"/>
    <w:rsid w:val="003E77A0"/>
    <w:rsid w:val="004220D9"/>
    <w:rsid w:val="00423D73"/>
    <w:rsid w:val="00437D9C"/>
    <w:rsid w:val="004443EC"/>
    <w:rsid w:val="00444DFA"/>
    <w:rsid w:val="00447D2F"/>
    <w:rsid w:val="00480F00"/>
    <w:rsid w:val="00491DB7"/>
    <w:rsid w:val="00492598"/>
    <w:rsid w:val="0049505F"/>
    <w:rsid w:val="0049710B"/>
    <w:rsid w:val="004A205F"/>
    <w:rsid w:val="004B7DC7"/>
    <w:rsid w:val="004C02C5"/>
    <w:rsid w:val="004C765F"/>
    <w:rsid w:val="004D27C1"/>
    <w:rsid w:val="004D487C"/>
    <w:rsid w:val="004D597D"/>
    <w:rsid w:val="004E1645"/>
    <w:rsid w:val="004E4649"/>
    <w:rsid w:val="004F530B"/>
    <w:rsid w:val="00501D3E"/>
    <w:rsid w:val="00511738"/>
    <w:rsid w:val="005127A0"/>
    <w:rsid w:val="00516FC0"/>
    <w:rsid w:val="005249BC"/>
    <w:rsid w:val="005346CB"/>
    <w:rsid w:val="00544287"/>
    <w:rsid w:val="00550D08"/>
    <w:rsid w:val="00553C93"/>
    <w:rsid w:val="00557DC3"/>
    <w:rsid w:val="00560471"/>
    <w:rsid w:val="00566568"/>
    <w:rsid w:val="00573961"/>
    <w:rsid w:val="005B0E00"/>
    <w:rsid w:val="005B3979"/>
    <w:rsid w:val="005C2A6F"/>
    <w:rsid w:val="005C53E2"/>
    <w:rsid w:val="005C5435"/>
    <w:rsid w:val="005C5CD0"/>
    <w:rsid w:val="005D15F9"/>
    <w:rsid w:val="005E01C2"/>
    <w:rsid w:val="005E242C"/>
    <w:rsid w:val="005F72AE"/>
    <w:rsid w:val="005F7A56"/>
    <w:rsid w:val="00603FE0"/>
    <w:rsid w:val="006356ED"/>
    <w:rsid w:val="006836FC"/>
    <w:rsid w:val="0068597E"/>
    <w:rsid w:val="00693655"/>
    <w:rsid w:val="006A0A79"/>
    <w:rsid w:val="006A3ACD"/>
    <w:rsid w:val="006B1D7E"/>
    <w:rsid w:val="006C04C3"/>
    <w:rsid w:val="006C38BF"/>
    <w:rsid w:val="006C4198"/>
    <w:rsid w:val="006C687F"/>
    <w:rsid w:val="006D5430"/>
    <w:rsid w:val="006E320A"/>
    <w:rsid w:val="006E489C"/>
    <w:rsid w:val="00723927"/>
    <w:rsid w:val="0073062A"/>
    <w:rsid w:val="0073159E"/>
    <w:rsid w:val="00732D11"/>
    <w:rsid w:val="00776734"/>
    <w:rsid w:val="00776BF0"/>
    <w:rsid w:val="007849BD"/>
    <w:rsid w:val="00785BB6"/>
    <w:rsid w:val="007920F4"/>
    <w:rsid w:val="00795872"/>
    <w:rsid w:val="007A605B"/>
    <w:rsid w:val="007B6D8A"/>
    <w:rsid w:val="007B6EA8"/>
    <w:rsid w:val="007F5B66"/>
    <w:rsid w:val="00810AED"/>
    <w:rsid w:val="0081130B"/>
    <w:rsid w:val="00816543"/>
    <w:rsid w:val="00825819"/>
    <w:rsid w:val="00834F08"/>
    <w:rsid w:val="0084096D"/>
    <w:rsid w:val="00850915"/>
    <w:rsid w:val="00851B4F"/>
    <w:rsid w:val="00854A7B"/>
    <w:rsid w:val="00862C10"/>
    <w:rsid w:val="00863696"/>
    <w:rsid w:val="00867D41"/>
    <w:rsid w:val="008778BD"/>
    <w:rsid w:val="00880E6D"/>
    <w:rsid w:val="00887BFB"/>
    <w:rsid w:val="00895A06"/>
    <w:rsid w:val="008C05E7"/>
    <w:rsid w:val="008C5FE8"/>
    <w:rsid w:val="008D0631"/>
    <w:rsid w:val="008E5DD3"/>
    <w:rsid w:val="008F7C9D"/>
    <w:rsid w:val="00914D1D"/>
    <w:rsid w:val="00924A96"/>
    <w:rsid w:val="00937B3D"/>
    <w:rsid w:val="00942DD3"/>
    <w:rsid w:val="00942FB3"/>
    <w:rsid w:val="009432FE"/>
    <w:rsid w:val="00943ED2"/>
    <w:rsid w:val="00963CE7"/>
    <w:rsid w:val="00971248"/>
    <w:rsid w:val="009727EB"/>
    <w:rsid w:val="00973A2E"/>
    <w:rsid w:val="00981AF9"/>
    <w:rsid w:val="0099021D"/>
    <w:rsid w:val="00991770"/>
    <w:rsid w:val="00993ACE"/>
    <w:rsid w:val="009A1CDA"/>
    <w:rsid w:val="009A75FB"/>
    <w:rsid w:val="009B1DC7"/>
    <w:rsid w:val="009C07DE"/>
    <w:rsid w:val="009C51E5"/>
    <w:rsid w:val="009D6109"/>
    <w:rsid w:val="009E2E72"/>
    <w:rsid w:val="009E434D"/>
    <w:rsid w:val="00A0122C"/>
    <w:rsid w:val="00A06A44"/>
    <w:rsid w:val="00A10C14"/>
    <w:rsid w:val="00A36A11"/>
    <w:rsid w:val="00A5793C"/>
    <w:rsid w:val="00A64287"/>
    <w:rsid w:val="00A70017"/>
    <w:rsid w:val="00A81F34"/>
    <w:rsid w:val="00A86B3F"/>
    <w:rsid w:val="00AA4AEF"/>
    <w:rsid w:val="00AB0EDD"/>
    <w:rsid w:val="00B00FAF"/>
    <w:rsid w:val="00B01A86"/>
    <w:rsid w:val="00B04A88"/>
    <w:rsid w:val="00B125E4"/>
    <w:rsid w:val="00B37A0D"/>
    <w:rsid w:val="00B403CB"/>
    <w:rsid w:val="00B45E34"/>
    <w:rsid w:val="00B5243D"/>
    <w:rsid w:val="00B704D1"/>
    <w:rsid w:val="00B84D1F"/>
    <w:rsid w:val="00B92763"/>
    <w:rsid w:val="00B97282"/>
    <w:rsid w:val="00BA008D"/>
    <w:rsid w:val="00BA07F0"/>
    <w:rsid w:val="00BA241E"/>
    <w:rsid w:val="00BB6B4E"/>
    <w:rsid w:val="00BC1ADA"/>
    <w:rsid w:val="00BC3812"/>
    <w:rsid w:val="00BC7EB1"/>
    <w:rsid w:val="00BE26B5"/>
    <w:rsid w:val="00BE334F"/>
    <w:rsid w:val="00BF6883"/>
    <w:rsid w:val="00C03433"/>
    <w:rsid w:val="00C039B6"/>
    <w:rsid w:val="00C179E6"/>
    <w:rsid w:val="00C2479E"/>
    <w:rsid w:val="00C3019D"/>
    <w:rsid w:val="00C5429E"/>
    <w:rsid w:val="00CA04DF"/>
    <w:rsid w:val="00CA5711"/>
    <w:rsid w:val="00CB2D7E"/>
    <w:rsid w:val="00CB307B"/>
    <w:rsid w:val="00CE0395"/>
    <w:rsid w:val="00CE3731"/>
    <w:rsid w:val="00D3671D"/>
    <w:rsid w:val="00D6344C"/>
    <w:rsid w:val="00D7387D"/>
    <w:rsid w:val="00D869CD"/>
    <w:rsid w:val="00DA3005"/>
    <w:rsid w:val="00DB073E"/>
    <w:rsid w:val="00DC6F05"/>
    <w:rsid w:val="00DF2E53"/>
    <w:rsid w:val="00E24063"/>
    <w:rsid w:val="00E26253"/>
    <w:rsid w:val="00E27388"/>
    <w:rsid w:val="00E31D7C"/>
    <w:rsid w:val="00E3360C"/>
    <w:rsid w:val="00E36F73"/>
    <w:rsid w:val="00E41FE1"/>
    <w:rsid w:val="00E478A2"/>
    <w:rsid w:val="00E76521"/>
    <w:rsid w:val="00E77592"/>
    <w:rsid w:val="00E82886"/>
    <w:rsid w:val="00EB3D8F"/>
    <w:rsid w:val="00EC24E8"/>
    <w:rsid w:val="00EC352F"/>
    <w:rsid w:val="00EC7660"/>
    <w:rsid w:val="00EE776C"/>
    <w:rsid w:val="00F04576"/>
    <w:rsid w:val="00F12347"/>
    <w:rsid w:val="00F12945"/>
    <w:rsid w:val="00F17724"/>
    <w:rsid w:val="00F236CB"/>
    <w:rsid w:val="00F371B8"/>
    <w:rsid w:val="00F37AC9"/>
    <w:rsid w:val="00F40C32"/>
    <w:rsid w:val="00F40E75"/>
    <w:rsid w:val="00F45B83"/>
    <w:rsid w:val="00F509ED"/>
    <w:rsid w:val="00F603C4"/>
    <w:rsid w:val="00F70275"/>
    <w:rsid w:val="00F7596F"/>
    <w:rsid w:val="00F83B64"/>
    <w:rsid w:val="00F855B6"/>
    <w:rsid w:val="00F86F7A"/>
    <w:rsid w:val="00F9718E"/>
    <w:rsid w:val="00FA2C0E"/>
    <w:rsid w:val="00FA7823"/>
    <w:rsid w:val="00FB22AB"/>
    <w:rsid w:val="00FD49B8"/>
    <w:rsid w:val="00FE5493"/>
    <w:rsid w:val="00FF173C"/>
    <w:rsid w:val="021D2A13"/>
    <w:rsid w:val="02AF6173"/>
    <w:rsid w:val="02E80AFB"/>
    <w:rsid w:val="0313607B"/>
    <w:rsid w:val="03780909"/>
    <w:rsid w:val="03836A76"/>
    <w:rsid w:val="043D09D3"/>
    <w:rsid w:val="046B19E4"/>
    <w:rsid w:val="0592268D"/>
    <w:rsid w:val="05C03FCA"/>
    <w:rsid w:val="06706C7C"/>
    <w:rsid w:val="06C22F74"/>
    <w:rsid w:val="06DA69AD"/>
    <w:rsid w:val="06E57385"/>
    <w:rsid w:val="08781FA9"/>
    <w:rsid w:val="08C157E8"/>
    <w:rsid w:val="09047D11"/>
    <w:rsid w:val="0A2D5046"/>
    <w:rsid w:val="0ACF3A80"/>
    <w:rsid w:val="0AE6768A"/>
    <w:rsid w:val="0AEA4B9A"/>
    <w:rsid w:val="0BEB340A"/>
    <w:rsid w:val="0C252478"/>
    <w:rsid w:val="0C963376"/>
    <w:rsid w:val="0CAD0AD3"/>
    <w:rsid w:val="0D202FC0"/>
    <w:rsid w:val="0D502D72"/>
    <w:rsid w:val="0D7731A8"/>
    <w:rsid w:val="0DAE46EF"/>
    <w:rsid w:val="0DC072B1"/>
    <w:rsid w:val="0DEA3506"/>
    <w:rsid w:val="0E323572"/>
    <w:rsid w:val="10173DF5"/>
    <w:rsid w:val="10613FCD"/>
    <w:rsid w:val="108C6F6A"/>
    <w:rsid w:val="117E0760"/>
    <w:rsid w:val="119569CB"/>
    <w:rsid w:val="11CA0B93"/>
    <w:rsid w:val="121200E6"/>
    <w:rsid w:val="129465AA"/>
    <w:rsid w:val="134A6492"/>
    <w:rsid w:val="136A730B"/>
    <w:rsid w:val="13C17950"/>
    <w:rsid w:val="13D515CD"/>
    <w:rsid w:val="14302302"/>
    <w:rsid w:val="146F2E2A"/>
    <w:rsid w:val="147246C9"/>
    <w:rsid w:val="14C431D2"/>
    <w:rsid w:val="14C71CE1"/>
    <w:rsid w:val="173016C8"/>
    <w:rsid w:val="17740758"/>
    <w:rsid w:val="17B03166"/>
    <w:rsid w:val="183028D1"/>
    <w:rsid w:val="18EB67F8"/>
    <w:rsid w:val="1998129F"/>
    <w:rsid w:val="1A8B7370"/>
    <w:rsid w:val="1A954C6D"/>
    <w:rsid w:val="1AAB4490"/>
    <w:rsid w:val="1AC469A3"/>
    <w:rsid w:val="1B4D4E0E"/>
    <w:rsid w:val="1BB27AA1"/>
    <w:rsid w:val="1BBF042B"/>
    <w:rsid w:val="1C265991"/>
    <w:rsid w:val="1CE75528"/>
    <w:rsid w:val="1CF55E5D"/>
    <w:rsid w:val="1CFF0AC4"/>
    <w:rsid w:val="1D3B72FB"/>
    <w:rsid w:val="1D401FD5"/>
    <w:rsid w:val="1D6C392C"/>
    <w:rsid w:val="1D990A1B"/>
    <w:rsid w:val="1DBE34D3"/>
    <w:rsid w:val="1DFF397B"/>
    <w:rsid w:val="1E5D0198"/>
    <w:rsid w:val="1F090697"/>
    <w:rsid w:val="1FE7151C"/>
    <w:rsid w:val="1FF561AE"/>
    <w:rsid w:val="20196340"/>
    <w:rsid w:val="20CC6275"/>
    <w:rsid w:val="21294361"/>
    <w:rsid w:val="2173598E"/>
    <w:rsid w:val="220D75B2"/>
    <w:rsid w:val="22596EC8"/>
    <w:rsid w:val="23024E6A"/>
    <w:rsid w:val="236E7DBF"/>
    <w:rsid w:val="239214C6"/>
    <w:rsid w:val="24276EB2"/>
    <w:rsid w:val="24A0493A"/>
    <w:rsid w:val="24D37BDA"/>
    <w:rsid w:val="25BC39F6"/>
    <w:rsid w:val="26413EFB"/>
    <w:rsid w:val="26EF3957"/>
    <w:rsid w:val="273E668C"/>
    <w:rsid w:val="27B536B0"/>
    <w:rsid w:val="281700FA"/>
    <w:rsid w:val="2885728B"/>
    <w:rsid w:val="2887341B"/>
    <w:rsid w:val="297939AC"/>
    <w:rsid w:val="29862BD7"/>
    <w:rsid w:val="2A3D6A8D"/>
    <w:rsid w:val="2A6308E4"/>
    <w:rsid w:val="2A6D6825"/>
    <w:rsid w:val="2B004385"/>
    <w:rsid w:val="2B3D13F8"/>
    <w:rsid w:val="2B65068C"/>
    <w:rsid w:val="2BB4237E"/>
    <w:rsid w:val="2BF37A45"/>
    <w:rsid w:val="2BFA5278"/>
    <w:rsid w:val="2C7B7B25"/>
    <w:rsid w:val="2C7F6613"/>
    <w:rsid w:val="2D3319B5"/>
    <w:rsid w:val="2D844CF6"/>
    <w:rsid w:val="2DF105DB"/>
    <w:rsid w:val="2E6A034D"/>
    <w:rsid w:val="2E804559"/>
    <w:rsid w:val="2EA119DB"/>
    <w:rsid w:val="2EC67693"/>
    <w:rsid w:val="2F155773"/>
    <w:rsid w:val="2F9E44AB"/>
    <w:rsid w:val="31077AEF"/>
    <w:rsid w:val="31417665"/>
    <w:rsid w:val="31E9217F"/>
    <w:rsid w:val="31F65BC5"/>
    <w:rsid w:val="321E38C7"/>
    <w:rsid w:val="32CE6B16"/>
    <w:rsid w:val="32E16842"/>
    <w:rsid w:val="33263C60"/>
    <w:rsid w:val="333D278B"/>
    <w:rsid w:val="3344502A"/>
    <w:rsid w:val="33EF4B74"/>
    <w:rsid w:val="35927347"/>
    <w:rsid w:val="35942299"/>
    <w:rsid w:val="35E6569D"/>
    <w:rsid w:val="37AB5678"/>
    <w:rsid w:val="381D515F"/>
    <w:rsid w:val="389414BE"/>
    <w:rsid w:val="390E5EBF"/>
    <w:rsid w:val="39BD2529"/>
    <w:rsid w:val="3A636C6D"/>
    <w:rsid w:val="3AAB3FD3"/>
    <w:rsid w:val="3B1A12EE"/>
    <w:rsid w:val="3B502A43"/>
    <w:rsid w:val="3C881DDA"/>
    <w:rsid w:val="3D5F430F"/>
    <w:rsid w:val="3DE6611C"/>
    <w:rsid w:val="3FC650EB"/>
    <w:rsid w:val="401647C2"/>
    <w:rsid w:val="40CC793A"/>
    <w:rsid w:val="41853485"/>
    <w:rsid w:val="41CF3C67"/>
    <w:rsid w:val="432650E5"/>
    <w:rsid w:val="43782C30"/>
    <w:rsid w:val="437E7318"/>
    <w:rsid w:val="43B63340"/>
    <w:rsid w:val="43B77122"/>
    <w:rsid w:val="43F965F6"/>
    <w:rsid w:val="45AA20AF"/>
    <w:rsid w:val="46130D1E"/>
    <w:rsid w:val="4654512D"/>
    <w:rsid w:val="46AE164B"/>
    <w:rsid w:val="470D3C59"/>
    <w:rsid w:val="48233009"/>
    <w:rsid w:val="488D08DA"/>
    <w:rsid w:val="48B30830"/>
    <w:rsid w:val="49690EEF"/>
    <w:rsid w:val="4978464B"/>
    <w:rsid w:val="49EC70F2"/>
    <w:rsid w:val="4A0B1FA6"/>
    <w:rsid w:val="4A67649A"/>
    <w:rsid w:val="4B013AD5"/>
    <w:rsid w:val="4B3310CB"/>
    <w:rsid w:val="4BF5224A"/>
    <w:rsid w:val="4C15575E"/>
    <w:rsid w:val="4D673B78"/>
    <w:rsid w:val="4E263020"/>
    <w:rsid w:val="4E8C7B5A"/>
    <w:rsid w:val="4EB329FB"/>
    <w:rsid w:val="4F243E16"/>
    <w:rsid w:val="500B320E"/>
    <w:rsid w:val="516F72BF"/>
    <w:rsid w:val="51DA13B2"/>
    <w:rsid w:val="52741030"/>
    <w:rsid w:val="53427F24"/>
    <w:rsid w:val="53A92F5C"/>
    <w:rsid w:val="53BF1880"/>
    <w:rsid w:val="53D035D9"/>
    <w:rsid w:val="53EB3716"/>
    <w:rsid w:val="54410308"/>
    <w:rsid w:val="54474D62"/>
    <w:rsid w:val="54D272FC"/>
    <w:rsid w:val="54FE1844"/>
    <w:rsid w:val="555E38D2"/>
    <w:rsid w:val="55B509F6"/>
    <w:rsid w:val="56282E9D"/>
    <w:rsid w:val="562B2653"/>
    <w:rsid w:val="566E3FE9"/>
    <w:rsid w:val="57055E9A"/>
    <w:rsid w:val="572F5526"/>
    <w:rsid w:val="58913FBE"/>
    <w:rsid w:val="58AC0B04"/>
    <w:rsid w:val="58E33856"/>
    <w:rsid w:val="58ED7447"/>
    <w:rsid w:val="59D94FB8"/>
    <w:rsid w:val="5A2A4A65"/>
    <w:rsid w:val="5B931BB5"/>
    <w:rsid w:val="5C1703A7"/>
    <w:rsid w:val="5C982E52"/>
    <w:rsid w:val="5D30782F"/>
    <w:rsid w:val="5EF06D6B"/>
    <w:rsid w:val="5FA6527E"/>
    <w:rsid w:val="60687334"/>
    <w:rsid w:val="6080347D"/>
    <w:rsid w:val="628250A4"/>
    <w:rsid w:val="647B624F"/>
    <w:rsid w:val="64B41FCC"/>
    <w:rsid w:val="65015485"/>
    <w:rsid w:val="65982872"/>
    <w:rsid w:val="663518A2"/>
    <w:rsid w:val="66A5036A"/>
    <w:rsid w:val="66FD1BB8"/>
    <w:rsid w:val="68E756F2"/>
    <w:rsid w:val="692755F0"/>
    <w:rsid w:val="6A037B0A"/>
    <w:rsid w:val="6AB978C2"/>
    <w:rsid w:val="6AC43D66"/>
    <w:rsid w:val="6B171400"/>
    <w:rsid w:val="6BB36AC4"/>
    <w:rsid w:val="6C7415E1"/>
    <w:rsid w:val="6CE2561C"/>
    <w:rsid w:val="6DEC3D19"/>
    <w:rsid w:val="6E8201DA"/>
    <w:rsid w:val="6FDF2FA2"/>
    <w:rsid w:val="70967F6C"/>
    <w:rsid w:val="70CD0083"/>
    <w:rsid w:val="71353864"/>
    <w:rsid w:val="71995E2A"/>
    <w:rsid w:val="71A824CB"/>
    <w:rsid w:val="71F96332"/>
    <w:rsid w:val="721D57F1"/>
    <w:rsid w:val="73E831D5"/>
    <w:rsid w:val="742023C5"/>
    <w:rsid w:val="74597C2E"/>
    <w:rsid w:val="746A136B"/>
    <w:rsid w:val="751F3575"/>
    <w:rsid w:val="753158E4"/>
    <w:rsid w:val="75797513"/>
    <w:rsid w:val="759B7995"/>
    <w:rsid w:val="75D67759"/>
    <w:rsid w:val="75E67C61"/>
    <w:rsid w:val="76B54464"/>
    <w:rsid w:val="76C23698"/>
    <w:rsid w:val="76E60510"/>
    <w:rsid w:val="78574485"/>
    <w:rsid w:val="787E385B"/>
    <w:rsid w:val="78D67BCB"/>
    <w:rsid w:val="799A0ACD"/>
    <w:rsid w:val="7A0A5C53"/>
    <w:rsid w:val="7A5F6A9D"/>
    <w:rsid w:val="7B737828"/>
    <w:rsid w:val="7C5F20CD"/>
    <w:rsid w:val="7C831CEC"/>
    <w:rsid w:val="7CBC4CE5"/>
    <w:rsid w:val="7D3314AE"/>
    <w:rsid w:val="7D5B763F"/>
    <w:rsid w:val="7D9341B1"/>
    <w:rsid w:val="7E64093C"/>
    <w:rsid w:val="7EB42631"/>
    <w:rsid w:val="7FC1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1"/>
    <w:link w:val="36"/>
    <w:qFormat/>
    <w:uiPriority w:val="9"/>
    <w:pPr>
      <w:keepNext/>
      <w:keepLines/>
      <w:spacing w:before="260" w:after="260" w:line="416" w:lineRule="atLeast"/>
      <w:outlineLvl w:val="2"/>
    </w:pPr>
    <w:rPr>
      <w:b/>
      <w:bCs/>
      <w:sz w:val="32"/>
      <w:szCs w:val="32"/>
    </w:rPr>
  </w:style>
  <w:style w:type="paragraph" w:styleId="5">
    <w:name w:val="heading 5"/>
    <w:basedOn w:val="1"/>
    <w:next w:val="6"/>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 w:type="paragraph" w:customStyle="1" w:styleId="62">
    <w:name w:val="_Style 33"/>
    <w:basedOn w:val="1"/>
    <w:next w:val="58"/>
    <w:qFormat/>
    <w:uiPriority w:val="34"/>
    <w:pPr>
      <w:ind w:firstLine="420" w:firstLineChars="200"/>
    </w:pPr>
    <w:rPr>
      <w:kern w:val="2"/>
      <w:szCs w:val="24"/>
    </w:rPr>
  </w:style>
  <w:style w:type="paragraph" w:customStyle="1" w:styleId="63">
    <w:name w:val="Table Text"/>
    <w:basedOn w:val="1"/>
    <w:semiHidden/>
    <w:qFormat/>
    <w:uiPriority w:val="0"/>
    <w:rPr>
      <w:rFonts w:ascii="微软雅黑" w:hAnsi="微软雅黑" w:eastAsia="微软雅黑" w:cs="微软雅黑"/>
      <w:szCs w:val="21"/>
      <w:lang w:eastAsia="en-US"/>
    </w:rPr>
  </w:style>
  <w:style w:type="table" w:customStyle="1" w:styleId="6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cntcyichu</Company>
  <Pages>46</Pages>
  <Words>4919</Words>
  <Characters>5114</Characters>
  <Lines>183</Lines>
  <Paragraphs>51</Paragraphs>
  <TotalTime>20</TotalTime>
  <ScaleCrop>false</ScaleCrop>
  <LinksUpToDate>false</LinksUpToDate>
  <CharactersWithSpaces>5324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2025-10-29T09:11:00Z</dcterms:created>
  <dc:creator>LSK</dc:creator>
  <cp:keywords>Birthday</cp:keywords>
  <cp:lastModifiedBy>ChuMom</cp:lastModifiedBy>
  <cp:lastPrinted>2014-11-14T17:02:00Z</cp:lastPrinted>
  <dcterms:modified xsi:type="dcterms:W3CDTF">2025-11-05T02:42:54Z</dcterms:modified>
  <dc:subject>Birthday</dc:subject>
  <dc:title>Are You suprised ?</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CFBCF97C42164766A275E715DB497882_13</vt:lpwstr>
  </property>
  <property fmtid="{D5CDD505-2E9C-101B-9397-08002B2CF9AE}" pid="4" name="KSOTemplateDocerSaveRecord">
    <vt:lpwstr>eyJoZGlkIjoiODhkOTY2Yjk5YmY5ZjE1YjA4NjVjMzI5ZGExNDY1ZWYiLCJ1c2VySWQiOiIxMjExMzE2MDMyIn0=</vt:lpwstr>
  </property>
</Properties>
</file>