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26"/>
        <w:ind w:left="0" w:leftChars="0" w:firstLine="0" w:firstLineChars="0"/>
        <w:rPr>
          <w:rFonts w:hint="eastAsia" w:ascii="宋体" w:hAnsi="宋体"/>
          <w:b/>
          <w:sz w:val="36"/>
        </w:rPr>
      </w:pPr>
    </w:p>
    <w:p w14:paraId="1037B9DC">
      <w:pPr>
        <w:pStyle w:val="26"/>
        <w:ind w:firstLine="723"/>
        <w:jc w:val="center"/>
        <w:rPr>
          <w:rFonts w:hint="eastAsia" w:ascii="宋体" w:hAnsi="宋体"/>
          <w:b/>
          <w:sz w:val="36"/>
        </w:rPr>
      </w:pPr>
      <w:r>
        <w:rPr>
          <w:rFonts w:hint="eastAsia" w:ascii="宋体" w:hAnsi="宋体"/>
          <w:b/>
          <w:sz w:val="36"/>
        </w:rPr>
        <w:t>采购文件</w:t>
      </w:r>
    </w:p>
    <w:p w14:paraId="5E268D7F">
      <w:pPr>
        <w:pStyle w:val="26"/>
        <w:ind w:firstLine="723"/>
        <w:jc w:val="left"/>
        <w:rPr>
          <w:rFonts w:hint="eastAsia" w:ascii="宋体" w:hAnsi="宋体"/>
          <w:b/>
          <w:sz w:val="36"/>
        </w:rPr>
      </w:pPr>
    </w:p>
    <w:p w14:paraId="484B3490">
      <w:pPr>
        <w:pStyle w:val="26"/>
        <w:ind w:firstLine="723"/>
        <w:jc w:val="left"/>
        <w:rPr>
          <w:rFonts w:hint="eastAsia" w:ascii="宋体" w:hAnsi="宋体"/>
          <w:b/>
          <w:sz w:val="36"/>
        </w:rPr>
      </w:pPr>
    </w:p>
    <w:p w14:paraId="20BF5365">
      <w:pPr>
        <w:pStyle w:val="26"/>
        <w:ind w:left="0" w:leftChars="0" w:firstLine="1807" w:firstLineChars="500"/>
        <w:jc w:val="center"/>
        <w:rPr>
          <w:rFonts w:hint="eastAsia" w:ascii="宋体" w:hAnsi="宋体"/>
          <w:b/>
          <w:sz w:val="36"/>
        </w:rPr>
      </w:pPr>
      <w:r>
        <w:rPr>
          <w:rFonts w:hint="eastAsia" w:ascii="宋体" w:hAnsi="宋体"/>
          <w:b/>
          <w:sz w:val="36"/>
        </w:rPr>
        <w:t>项目名称：北京大学第六医院综合维修科门窗五金、防水补漏零星维修外包服务项目</w:t>
      </w:r>
    </w:p>
    <w:p w14:paraId="0CC24C85">
      <w:pPr>
        <w:pStyle w:val="26"/>
        <w:ind w:firstLine="723"/>
        <w:jc w:val="left"/>
        <w:rPr>
          <w:rFonts w:hint="eastAsia" w:ascii="宋体" w:hAnsi="宋体"/>
          <w:b/>
          <w:sz w:val="36"/>
        </w:rPr>
      </w:pPr>
    </w:p>
    <w:p w14:paraId="5F924DEA">
      <w:pPr>
        <w:pStyle w:val="26"/>
        <w:ind w:firstLine="723"/>
        <w:rPr>
          <w:rFonts w:hint="eastAsia" w:ascii="宋体" w:hAnsi="宋体"/>
          <w:b/>
          <w:sz w:val="36"/>
        </w:rPr>
      </w:pPr>
    </w:p>
    <w:p w14:paraId="3317594F">
      <w:pPr>
        <w:pStyle w:val="26"/>
        <w:ind w:firstLine="723"/>
        <w:rPr>
          <w:rFonts w:hint="eastAsia" w:ascii="宋体" w:hAnsi="宋体"/>
          <w:b/>
          <w:sz w:val="36"/>
        </w:rPr>
      </w:pPr>
    </w:p>
    <w:p w14:paraId="39614364">
      <w:pPr>
        <w:pStyle w:val="26"/>
        <w:ind w:firstLine="723"/>
        <w:rPr>
          <w:rFonts w:hint="eastAsia" w:ascii="宋体" w:hAnsi="宋体"/>
          <w:b/>
          <w:sz w:val="36"/>
        </w:rPr>
      </w:pPr>
    </w:p>
    <w:p w14:paraId="6F7140B4">
      <w:pPr>
        <w:pStyle w:val="26"/>
        <w:ind w:firstLine="723"/>
        <w:rPr>
          <w:rFonts w:hint="eastAsia" w:ascii="宋体" w:hAnsi="宋体"/>
          <w:b/>
          <w:sz w:val="36"/>
        </w:rPr>
      </w:pPr>
    </w:p>
    <w:p w14:paraId="54B34407">
      <w:pPr>
        <w:pStyle w:val="26"/>
        <w:ind w:firstLine="723"/>
        <w:rPr>
          <w:rFonts w:hint="eastAsia" w:ascii="宋体" w:hAnsi="宋体"/>
          <w:b/>
          <w:sz w:val="36"/>
        </w:rPr>
      </w:pPr>
    </w:p>
    <w:p w14:paraId="05635101">
      <w:pPr>
        <w:pStyle w:val="26"/>
        <w:ind w:firstLine="723"/>
        <w:rPr>
          <w:rFonts w:hint="eastAsia" w:ascii="宋体" w:hAnsi="宋体"/>
          <w:b/>
          <w:sz w:val="36"/>
        </w:rPr>
      </w:pPr>
    </w:p>
    <w:p w14:paraId="7E9C23C1">
      <w:pPr>
        <w:pStyle w:val="26"/>
        <w:ind w:firstLine="723"/>
        <w:rPr>
          <w:rFonts w:hint="eastAsia" w:ascii="宋体" w:hAnsi="宋体"/>
          <w:b/>
          <w:sz w:val="36"/>
        </w:rPr>
      </w:pPr>
    </w:p>
    <w:p w14:paraId="3C6D0309">
      <w:pPr>
        <w:pStyle w:val="26"/>
        <w:ind w:firstLine="723"/>
        <w:rPr>
          <w:rFonts w:hint="eastAsia" w:ascii="宋体" w:hAnsi="宋体"/>
          <w:b/>
          <w:sz w:val="36"/>
        </w:rPr>
      </w:pPr>
    </w:p>
    <w:p w14:paraId="7F1FF050">
      <w:pPr>
        <w:pStyle w:val="26"/>
        <w:ind w:firstLine="723"/>
        <w:rPr>
          <w:rFonts w:hint="eastAsia" w:ascii="宋体" w:hAnsi="宋体"/>
          <w:b/>
          <w:sz w:val="36"/>
        </w:rPr>
      </w:pPr>
    </w:p>
    <w:p w14:paraId="5EED809D">
      <w:pPr>
        <w:pStyle w:val="26"/>
        <w:ind w:firstLine="723"/>
        <w:rPr>
          <w:rFonts w:hint="eastAsia" w:ascii="宋体" w:hAnsi="宋体"/>
          <w:b/>
          <w:sz w:val="36"/>
        </w:rPr>
      </w:pPr>
    </w:p>
    <w:p w14:paraId="73412212">
      <w:pPr>
        <w:pStyle w:val="26"/>
        <w:ind w:firstLine="723"/>
        <w:rPr>
          <w:rFonts w:hint="eastAsia" w:ascii="宋体" w:hAnsi="宋体"/>
          <w:b/>
          <w:sz w:val="36"/>
        </w:rPr>
      </w:pPr>
    </w:p>
    <w:p w14:paraId="6F2336F3">
      <w:pPr>
        <w:pStyle w:val="26"/>
        <w:ind w:firstLine="723"/>
        <w:rPr>
          <w:rFonts w:hint="eastAsia" w:ascii="宋体" w:hAnsi="宋体"/>
          <w:b/>
          <w:sz w:val="36"/>
        </w:rPr>
      </w:pPr>
    </w:p>
    <w:p w14:paraId="4C93BD2F">
      <w:pPr>
        <w:pStyle w:val="26"/>
        <w:ind w:left="0" w:leftChars="0" w:firstLine="0" w:firstLineChars="0"/>
        <w:rPr>
          <w:rFonts w:hint="eastAsia" w:ascii="宋体" w:hAnsi="宋体"/>
          <w:b/>
          <w:sz w:val="36"/>
        </w:rPr>
      </w:pPr>
    </w:p>
    <w:p w14:paraId="74A31855">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1D9F6E63">
      <w:pPr>
        <w:pStyle w:val="26"/>
        <w:ind w:firstLine="3915" w:firstLineChars="1300"/>
        <w:rPr>
          <w:rFonts w:hint="eastAsia" w:ascii="宋体" w:hAnsi="宋体"/>
          <w:b/>
          <w:sz w:val="30"/>
          <w:szCs w:val="30"/>
        </w:rPr>
      </w:pPr>
      <w:r>
        <w:rPr>
          <w:rFonts w:hint="eastAsia" w:ascii="宋体" w:hAnsi="宋体"/>
          <w:b/>
          <w:sz w:val="30"/>
          <w:szCs w:val="30"/>
        </w:rPr>
        <w:t>A说明</w:t>
      </w:r>
    </w:p>
    <w:p w14:paraId="5515CE07">
      <w:pPr>
        <w:pStyle w:val="12"/>
        <w:ind w:firstLine="480" w:firstLineChars="200"/>
        <w:jc w:val="left"/>
      </w:pPr>
      <w:r>
        <w:rPr>
          <w:rFonts w:hint="eastAsia" w:hAnsi="宋体"/>
          <w:bCs/>
          <w:sz w:val="24"/>
        </w:rPr>
        <w:t>北京大学第六医院综合维修科门窗五金、防水补漏零星维修外包服务项目共分2个分包，</w:t>
      </w:r>
      <w:r>
        <w:rPr>
          <w:rFonts w:hint="eastAsia" w:hAnsi="宋体"/>
          <w:bCs/>
          <w:sz w:val="24"/>
          <w:highlight w:val="yellow"/>
        </w:rPr>
        <w:t>本包为包1，</w:t>
      </w:r>
      <w:r>
        <w:rPr>
          <w:rFonts w:hint="eastAsia" w:hAnsi="宋体"/>
          <w:bCs/>
          <w:sz w:val="24"/>
          <w:szCs w:val="24"/>
        </w:rPr>
        <w:t>项目采用兼投不兼中方法，每个分包确定1名中标候选人，2个分包共确定2名不同中标候选人。</w:t>
      </w:r>
      <w:r>
        <w:rPr>
          <w:rFonts w:hint="eastAsia" w:hAnsi="宋体"/>
          <w:b/>
          <w:sz w:val="36"/>
        </w:rPr>
        <w:t xml:space="preserve">       </w:t>
      </w:r>
    </w:p>
    <w:p w14:paraId="623F5A7F">
      <w:pPr>
        <w:pStyle w:val="26"/>
        <w:numPr>
          <w:ilvl w:val="0"/>
          <w:numId w:val="4"/>
        </w:numPr>
        <w:ind w:firstLine="480"/>
        <w:rPr>
          <w:rFonts w:hint="eastAsia" w:ascii="宋体" w:hAnsi="宋体"/>
          <w:bCs/>
          <w:sz w:val="24"/>
        </w:rPr>
      </w:pPr>
      <w:r>
        <w:rPr>
          <w:rFonts w:hint="eastAsia" w:ascii="宋体" w:hAnsi="宋体"/>
          <w:bCs/>
          <w:sz w:val="24"/>
        </w:rPr>
        <w:t>适用范围：</w:t>
      </w:r>
    </w:p>
    <w:p w14:paraId="1CA80472">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1.1项目名称：北京大学第六医院综合维修科门窗五金、防水补漏零星维修外包服务项目</w:t>
      </w:r>
    </w:p>
    <w:p w14:paraId="4F2D9B28">
      <w:pPr>
        <w:spacing w:line="360" w:lineRule="auto"/>
        <w:ind w:left="960" w:hanging="960" w:hangingChars="400"/>
        <w:rPr>
          <w:rFonts w:hint="eastAsia" w:ascii="宋体" w:hAnsi="宋体"/>
          <w:bCs/>
          <w:sz w:val="24"/>
          <w:highlight w:val="yellow"/>
        </w:rPr>
      </w:pPr>
      <w:r>
        <w:rPr>
          <w:rFonts w:hint="eastAsia" w:ascii="宋体" w:hAnsi="宋体"/>
          <w:bCs/>
          <w:sz w:val="24"/>
        </w:rPr>
        <w:t xml:space="preserve">         </w:t>
      </w:r>
      <w:r>
        <w:rPr>
          <w:rFonts w:hint="eastAsia" w:ascii="宋体" w:hAnsi="宋体"/>
          <w:bCs/>
          <w:sz w:val="24"/>
          <w:highlight w:val="yellow"/>
        </w:rPr>
        <w:t xml:space="preserve"> 1.2项目预算：95000元人民币。两院区</w:t>
      </w:r>
      <w:r>
        <w:rPr>
          <w:rFonts w:hint="eastAsia" w:ascii="宋体" w:hAnsi="宋体" w:cs="宋体"/>
          <w:color w:val="000000"/>
          <w:sz w:val="24"/>
          <w:szCs w:val="24"/>
          <w:highlight w:val="yellow"/>
          <w:shd w:val="clear" w:color="auto" w:fill="FFFFFF"/>
        </w:rPr>
        <w:t>门窗五金维修费预算金额不能超过4</w:t>
      </w:r>
      <w:r>
        <w:rPr>
          <w:rFonts w:hint="eastAsia" w:ascii="宋体" w:hAnsi="宋体" w:cs="宋体"/>
          <w:color w:val="000000"/>
          <w:sz w:val="24"/>
          <w:szCs w:val="24"/>
          <w:highlight w:val="yellow"/>
          <w:shd w:val="clear" w:color="auto" w:fill="FFFFFF"/>
          <w:lang w:val="en-US" w:eastAsia="zh-CN"/>
        </w:rPr>
        <w:t>5</w:t>
      </w:r>
      <w:r>
        <w:rPr>
          <w:rFonts w:hint="eastAsia" w:ascii="宋体" w:hAnsi="宋体" w:cs="宋体"/>
          <w:color w:val="000000"/>
          <w:sz w:val="24"/>
          <w:szCs w:val="24"/>
          <w:highlight w:val="yellow"/>
          <w:shd w:val="clear" w:color="auto" w:fill="FFFFFF"/>
        </w:rPr>
        <w:t>000元；两院区屋面防水维修预算金额不能超</w:t>
      </w:r>
      <w:r>
        <w:rPr>
          <w:rFonts w:hint="eastAsia" w:ascii="宋体" w:hAnsi="宋体" w:cs="宋体"/>
          <w:color w:val="000000"/>
          <w:sz w:val="24"/>
          <w:szCs w:val="24"/>
          <w:highlight w:val="yellow"/>
          <w:shd w:val="clear" w:color="auto" w:fill="FFFFFF"/>
          <w:lang w:val="en-US" w:eastAsia="zh-CN"/>
        </w:rPr>
        <w:t>50</w:t>
      </w:r>
      <w:r>
        <w:rPr>
          <w:rFonts w:hint="eastAsia" w:ascii="宋体" w:hAnsi="宋体" w:cs="宋体"/>
          <w:color w:val="000000"/>
          <w:sz w:val="24"/>
          <w:szCs w:val="24"/>
          <w:highlight w:val="yellow"/>
          <w:shd w:val="clear" w:color="auto" w:fill="FFFFFF"/>
        </w:rPr>
        <w:t>000元。</w:t>
      </w:r>
    </w:p>
    <w:p w14:paraId="145EF42F">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hint="eastAsia" w:ascii="宋体" w:hAnsi="宋体"/>
          <w:bCs/>
          <w:sz w:val="24"/>
        </w:rPr>
      </w:pPr>
      <w:r>
        <w:rPr>
          <w:rFonts w:hint="eastAsia" w:ascii="宋体" w:hAnsi="宋体"/>
          <w:bCs/>
          <w:sz w:val="24"/>
        </w:rPr>
        <w:t xml:space="preserve">   1.4项目属性：服务</w:t>
      </w:r>
    </w:p>
    <w:p w14:paraId="4CB8BCD4">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建筑</w:t>
      </w:r>
      <w:r>
        <w:rPr>
          <w:rFonts w:ascii="宋体" w:hAnsi="宋体" w:cs="Arial"/>
          <w:iCs/>
          <w:sz w:val="24"/>
        </w:rPr>
        <w:t>业</w:t>
      </w:r>
      <w:r>
        <w:rPr>
          <w:rFonts w:hint="eastAsia" w:ascii="宋体" w:hAnsi="宋体"/>
          <w:bCs/>
          <w:sz w:val="24"/>
        </w:rPr>
        <w:t>。</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4"/>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23"/>
        <w:widowControl/>
        <w:shd w:val="clear" w:color="auto" w:fill="FFFFFF"/>
        <w:spacing w:beforeAutospacing="0" w:after="120" w:afterAutospacing="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D18ECB5">
      <w:pPr>
        <w:pStyle w:val="23"/>
        <w:widowControl/>
        <w:shd w:val="clear" w:color="auto" w:fill="FFFFFF"/>
        <w:spacing w:beforeAutospacing="0" w:after="120" w:afterAutospacing="0" w:line="360" w:lineRule="atLeast"/>
        <w:ind w:left="1197" w:leftChars="570"/>
        <w:rPr>
          <w:rFonts w:hint="eastAsia" w:ascii="宋体" w:hAnsi="宋体" w:cs="宋体"/>
          <w:color w:val="444444"/>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w:t>
      </w:r>
    </w:p>
    <w:p w14:paraId="6884F979">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none"/>
          <w:shd w:val="clear" w:color="auto" w:fill="FFFFFF"/>
        </w:rPr>
      </w:pPr>
      <w:r>
        <w:rPr>
          <w:rFonts w:hint="eastAsia" w:ascii="宋体" w:hAnsi="宋体"/>
          <w:highlight w:val="none"/>
        </w:rPr>
        <w:t>2.</w:t>
      </w:r>
      <w:r>
        <w:rPr>
          <w:rFonts w:hint="eastAsia" w:ascii="宋体" w:hAnsi="宋体"/>
          <w:highlight w:val="none"/>
          <w:lang w:val="en-US" w:eastAsia="zh-CN"/>
        </w:rPr>
        <w:t>7</w:t>
      </w:r>
      <w:r>
        <w:rPr>
          <w:rFonts w:hint="eastAsia" w:ascii="宋体" w:hAnsi="宋体"/>
          <w:highlight w:val="none"/>
        </w:rPr>
        <w:t>响应人须</w:t>
      </w:r>
      <w:r>
        <w:rPr>
          <w:rFonts w:hint="eastAsia" w:ascii="宋体"/>
          <w:highlight w:val="none"/>
        </w:rPr>
        <w:t>具有建设主管部门核发的有效期内的安全生产许可证；</w:t>
      </w:r>
    </w:p>
    <w:p w14:paraId="5A33C29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0</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2</w:t>
      </w:r>
      <w:r>
        <w:rPr>
          <w:rFonts w:hint="eastAsia" w:ascii="宋体" w:hAnsi="宋体" w:cs="宋体"/>
          <w:color w:val="000000"/>
          <w:shd w:val="clear" w:color="auto" w:fill="FFFFFF"/>
        </w:rPr>
        <w:t xml:space="preserve">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w:t>
      </w:r>
      <w:r>
        <w:rPr>
          <w:rFonts w:hint="eastAsia" w:ascii="宋体" w:hAnsi="宋体"/>
          <w:sz w:val="24"/>
          <w:lang w:val="en-US" w:eastAsia="zh-CN"/>
        </w:rPr>
        <w:t>3</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5"/>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6"/>
        </w:numPr>
        <w:ind w:left="1680" w:leftChars="0" w:firstLineChars="0"/>
        <w:rPr>
          <w:rFonts w:ascii="宋体"/>
          <w:sz w:val="24"/>
        </w:rPr>
      </w:pPr>
      <w:r>
        <w:rPr>
          <w:rFonts w:hint="eastAsia" w:ascii="宋体"/>
          <w:sz w:val="24"/>
        </w:rPr>
        <w:t>响应人须知</w:t>
      </w:r>
    </w:p>
    <w:p w14:paraId="1BCA3F14">
      <w:pPr>
        <w:pStyle w:val="26"/>
        <w:numPr>
          <w:ilvl w:val="0"/>
          <w:numId w:val="6"/>
        </w:numPr>
        <w:ind w:left="1680" w:leftChars="0" w:firstLineChars="0"/>
        <w:rPr>
          <w:rFonts w:ascii="宋体"/>
          <w:sz w:val="24"/>
        </w:rPr>
      </w:pPr>
      <w:r>
        <w:rPr>
          <w:rFonts w:hint="eastAsia" w:ascii="宋体"/>
          <w:sz w:val="24"/>
        </w:rPr>
        <w:t>服务需求书</w:t>
      </w:r>
    </w:p>
    <w:p w14:paraId="40DCF3B5">
      <w:pPr>
        <w:pStyle w:val="26"/>
        <w:numPr>
          <w:ilvl w:val="0"/>
          <w:numId w:val="6"/>
        </w:numPr>
        <w:ind w:left="1680" w:leftChars="0" w:firstLineChars="0"/>
        <w:rPr>
          <w:rFonts w:ascii="宋体"/>
          <w:sz w:val="24"/>
        </w:rPr>
      </w:pPr>
      <w:r>
        <w:rPr>
          <w:rFonts w:hint="eastAsia" w:ascii="宋体"/>
          <w:sz w:val="24"/>
        </w:rPr>
        <w:t>拟签订的合同文本</w:t>
      </w:r>
    </w:p>
    <w:p w14:paraId="79075AC1">
      <w:pPr>
        <w:pStyle w:val="26"/>
        <w:numPr>
          <w:ilvl w:val="0"/>
          <w:numId w:val="6"/>
        </w:numPr>
        <w:ind w:left="1680" w:leftChars="0" w:firstLineChars="0"/>
        <w:rPr>
          <w:rFonts w:ascii="宋体"/>
          <w:sz w:val="24"/>
        </w:rPr>
      </w:pPr>
      <w:r>
        <w:rPr>
          <w:rFonts w:hint="eastAsia" w:ascii="宋体"/>
          <w:sz w:val="24"/>
        </w:rPr>
        <w:t>附件</w:t>
      </w:r>
    </w:p>
    <w:p w14:paraId="65C54288">
      <w:pPr>
        <w:pStyle w:val="26"/>
        <w:numPr>
          <w:ilvl w:val="0"/>
          <w:numId w:val="6"/>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5"/>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5"/>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5"/>
        </w:numPr>
        <w:ind w:firstLine="480"/>
        <w:rPr>
          <w:rFonts w:hint="eastAsia" w:ascii="宋体" w:hAnsi="宋体"/>
          <w:sz w:val="24"/>
        </w:rPr>
      </w:pPr>
      <w:r>
        <w:rPr>
          <w:rFonts w:hint="eastAsia" w:ascii="宋体" w:hAnsi="宋体"/>
          <w:sz w:val="24"/>
        </w:rPr>
        <w:t>响应文件的编制</w:t>
      </w:r>
    </w:p>
    <w:p w14:paraId="7EB20FAA">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E558951">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 xml:space="preserve">（8）响应人须具有建设主管部门核发的有效期内的安全生产许可证；   </w:t>
      </w:r>
    </w:p>
    <w:p w14:paraId="69AB5A53">
      <w:pPr>
        <w:pStyle w:val="26"/>
        <w:ind w:firstLine="482"/>
        <w:rPr>
          <w:rFonts w:ascii="宋体"/>
          <w:b/>
          <w:sz w:val="24"/>
        </w:rPr>
      </w:pPr>
      <w:r>
        <w:rPr>
          <w:rFonts w:hint="eastAsia" w:ascii="宋体"/>
          <w:b/>
          <w:sz w:val="24"/>
        </w:rPr>
        <w:t xml:space="preserve">   （9）采购文件要求的其他资质文件。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5"/>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2E904CE">
      <w:pPr>
        <w:pStyle w:val="26"/>
        <w:numPr>
          <w:ilvl w:val="0"/>
          <w:numId w:val="5"/>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lang w:eastAsia="zh-CN"/>
        </w:rPr>
        <w:t>“</w:t>
      </w:r>
      <w:r>
        <w:rPr>
          <w:rFonts w:hint="eastAsia" w:ascii="宋体"/>
          <w:b/>
          <w:sz w:val="24"/>
          <w:lang w:val="en-US" w:eastAsia="zh-CN"/>
        </w:rPr>
        <w:t>2”</w:t>
      </w:r>
      <w:r>
        <w:rPr>
          <w:rFonts w:hint="eastAsia" w:ascii="宋体"/>
          <w:b/>
          <w:sz w:val="24"/>
        </w:rPr>
        <w:t>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25DAD0D1">
      <w:pPr>
        <w:spacing w:line="360" w:lineRule="auto"/>
        <w:ind w:firstLine="422" w:firstLineChars="175"/>
        <w:rPr>
          <w:rFonts w:ascii="宋体"/>
          <w:b/>
          <w:sz w:val="24"/>
        </w:rPr>
      </w:pPr>
      <w:r>
        <w:rPr>
          <w:rFonts w:hint="eastAsia" w:ascii="宋体"/>
          <w:b/>
          <w:sz w:val="24"/>
        </w:rPr>
        <w:t>（4）提供无效的营业执照或法人证书的</w:t>
      </w:r>
    </w:p>
    <w:p w14:paraId="5D74F6D0">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5</w:t>
      </w:r>
      <w:r>
        <w:rPr>
          <w:rFonts w:hint="eastAsia" w:ascii="宋体"/>
          <w:b/>
          <w:sz w:val="24"/>
        </w:rPr>
        <w:t>）未提供建设主管部门核发的有效期内的安全生产许可证；</w:t>
      </w:r>
    </w:p>
    <w:p w14:paraId="15359C16">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（3）存在的串通投标情形的</w:t>
      </w:r>
    </w:p>
    <w:p w14:paraId="0FB69EF3">
      <w:pPr>
        <w:spacing w:line="360" w:lineRule="auto"/>
        <w:ind w:firstLine="422" w:firstLineChars="175"/>
        <w:rPr>
          <w:rFonts w:ascii="宋体"/>
          <w:b/>
          <w:sz w:val="24"/>
        </w:rPr>
      </w:pPr>
      <w:r>
        <w:rPr>
          <w:rFonts w:hint="eastAsia" w:ascii="宋体"/>
          <w:b/>
          <w:sz w:val="24"/>
        </w:rPr>
        <w:t>（4）提供的相关证书等不在有效期内的</w:t>
      </w:r>
    </w:p>
    <w:p w14:paraId="4D1A0A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5FCB179">
      <w:pPr>
        <w:pStyle w:val="2"/>
        <w:jc w:val="both"/>
      </w:pPr>
      <w:r>
        <w:rPr>
          <w:rFonts w:hint="eastAsia" w:ascii="宋体"/>
          <w:sz w:val="24"/>
        </w:rPr>
        <w:t xml:space="preserve">   （6）</w:t>
      </w:r>
      <w:r>
        <w:rPr>
          <w:rFonts w:hint="eastAsia"/>
          <w:sz w:val="24"/>
          <w:highlight w:val="none"/>
        </w:rPr>
        <w:t>响应</w:t>
      </w:r>
      <w:r>
        <w:rPr>
          <w:rFonts w:hint="eastAsia" w:ascii="宋体" w:hAnsi="宋体" w:cs="宋体"/>
          <w:sz w:val="24"/>
          <w:szCs w:val="24"/>
          <w:highlight w:val="none"/>
        </w:rPr>
        <w:t>人需根据不同维修场景，指定应急管理局下发的制焊条电弧焊与碳弧气割、气焊气体保护焊（二氧化碳保护焊）、气体保护焊（手工钨极氩弧焊）特种作业操作证书的人员为该项目现场维修人员（未提供承诺函加盖公章的）</w:t>
      </w:r>
    </w:p>
    <w:p w14:paraId="01B3BCF5">
      <w:pPr>
        <w:spacing w:line="360" w:lineRule="auto"/>
        <w:ind w:firstLine="422" w:firstLineChars="175"/>
        <w:rPr>
          <w:rFonts w:ascii="宋体"/>
          <w:b/>
          <w:sz w:val="24"/>
        </w:rPr>
      </w:pPr>
      <w:r>
        <w:rPr>
          <w:rFonts w:hint="eastAsia" w:ascii="宋体"/>
          <w:b/>
          <w:sz w:val="24"/>
        </w:rPr>
        <w:t>（7）</w:t>
      </w:r>
      <w:r>
        <w:rPr>
          <w:rFonts w:ascii="宋体" w:hAnsi="宋体" w:cs="宋体"/>
          <w:b/>
          <w:sz w:val="24"/>
          <w:szCs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63"/>
        <w:numPr>
          <w:ilvl w:val="0"/>
          <w:numId w:val="0"/>
        </w:numPr>
        <w:ind w:left="643" w:leftChars="306" w:firstLine="33" w:firstLineChars="14"/>
      </w:pPr>
      <w:r>
        <w:rPr>
          <w:rFonts w:hint="eastAsia"/>
        </w:rPr>
        <w:t>10.5响应人被视为串标</w:t>
      </w:r>
    </w:p>
    <w:p w14:paraId="153E1681">
      <w:pPr>
        <w:pStyle w:val="63"/>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6671A7DB">
      <w:pPr>
        <w:pStyle w:val="63"/>
        <w:numPr>
          <w:ilvl w:val="0"/>
          <w:numId w:val="0"/>
        </w:numPr>
        <w:ind w:left="643" w:leftChars="306" w:firstLine="33" w:firstLineChars="14"/>
      </w:pPr>
      <w:bookmarkStart w:id="0" w:name="_Hlk92201975"/>
      <w:r>
        <w:rPr>
          <w:rFonts w:hint="eastAsia"/>
        </w:rPr>
        <w:t>10.6</w:t>
      </w:r>
      <w:r>
        <w:rPr>
          <w:rFonts w:hint="eastAsia" w:hAnsi="宋体"/>
          <w:bCs/>
        </w:rPr>
        <w:t>北京大学第六医院综合维修科门窗五金、防水补漏零星维修外包服务</w:t>
      </w:r>
      <w:r>
        <w:rPr>
          <w:rFonts w:hint="eastAsia"/>
        </w:rPr>
        <w:t>项目共分2个分包，采用兼投不兼中方法（即：响应人可以同时投多个分包，但仅可中标1个包的方式），每个分包确定1名中标候选人，2个分包共确定2名不同的中标候选人。如响应人已在其他分包中被确定为中标候选人，则该响应人在本分包中符合性审查认定为不合格，不进入评分阶段。</w:t>
      </w:r>
      <w:bookmarkEnd w:id="0"/>
      <w:r>
        <w:rPr>
          <w:rFonts w:hint="eastAsia"/>
        </w:rPr>
        <w:t>评审顺序按分包顺序。具体要求如下：</w:t>
      </w:r>
    </w:p>
    <w:p w14:paraId="0BB93E8D">
      <w:pPr>
        <w:pStyle w:val="63"/>
        <w:numPr>
          <w:ilvl w:val="0"/>
          <w:numId w:val="0"/>
        </w:numPr>
        <w:ind w:left="643" w:leftChars="306" w:firstLine="33" w:firstLineChars="14"/>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2023745</wp:posOffset>
                </wp:positionH>
                <wp:positionV relativeFrom="paragraph">
                  <wp:posOffset>91440</wp:posOffset>
                </wp:positionV>
                <wp:extent cx="408305" cy="5715"/>
                <wp:effectExtent l="0" t="36830" r="10795" b="33655"/>
                <wp:wrapNone/>
                <wp:docPr id="6" name="直接箭头连接符 6"/>
                <wp:cNvGraphicFramePr/>
                <a:graphic xmlns:a="http://schemas.openxmlformats.org/drawingml/2006/main">
                  <a:graphicData uri="http://schemas.microsoft.com/office/word/2010/wordprocessingShape">
                    <wps:wsp>
                      <wps:cNvCnPr/>
                      <wps:spPr>
                        <a:xfrm flipV="1">
                          <a:off x="0" y="0"/>
                          <a:ext cx="408305"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59.35pt;margin-top:7.2pt;height:0.45pt;width:32.15pt;z-index:251659264;mso-width-relative:page;mso-height-relative:page;" filled="f" stroked="t" coordsize="21600,21600" o:gfxdata="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tlc62AAAAAkBAAAPAAAAAAAAAAEAIAAA&#10;ACIAAABkcnMvZG93bnJldi54bWxQSwECFAAUAAAACACHTuJAOo0jUgwCAAD8AwAADgAAAAAAAAAB&#10;ACAAAAAnAQAAZHJzL2Uyb0RvYy54bWxQSwUGAAAAAAYABgBZAQAApQUAAAAA&#10;">
                <v:fill on="f" focussize="0,0"/>
                <v:stroke color="#000000" joinstyle="round" endarrow="block"/>
                <v:imagedata o:title=""/>
                <o:lock v:ext="edit" aspectratio="f"/>
              </v:shape>
            </w:pict>
          </mc:Fallback>
        </mc:AlternateContent>
      </w:r>
      <w:r>
        <w:rPr>
          <w:rFonts w:hint="eastAsia"/>
        </w:rPr>
        <w:t xml:space="preserve">10.6.1评审顺序：01包      02包      </w:t>
      </w: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1A65128B">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3D886750">
      <w:pPr>
        <w:pStyle w:val="26"/>
        <w:ind w:left="0" w:leftChars="0" w:firstLine="1200" w:firstLineChars="500"/>
        <w:rPr>
          <w:rFonts w:ascii="宋体"/>
          <w:sz w:val="24"/>
        </w:rPr>
      </w:pPr>
    </w:p>
    <w:p w14:paraId="430775DC">
      <w:pPr>
        <w:pStyle w:val="26"/>
        <w:ind w:left="0" w:leftChars="0" w:firstLine="1200" w:firstLineChars="500"/>
        <w:rPr>
          <w:rFonts w:ascii="宋体"/>
          <w:sz w:val="24"/>
        </w:rPr>
      </w:pPr>
    </w:p>
    <w:p w14:paraId="701E3163">
      <w:pPr>
        <w:pStyle w:val="26"/>
        <w:ind w:left="0" w:leftChars="0" w:firstLine="1200" w:firstLineChars="500"/>
        <w:rPr>
          <w:rFonts w:ascii="宋体"/>
          <w:sz w:val="24"/>
        </w:rPr>
      </w:pPr>
    </w:p>
    <w:p w14:paraId="38EDB09B">
      <w:pPr>
        <w:pStyle w:val="26"/>
        <w:ind w:left="0" w:leftChars="0" w:firstLine="1200" w:firstLineChars="500"/>
        <w:rPr>
          <w:rFonts w:ascii="宋体"/>
          <w:sz w:val="24"/>
        </w:rPr>
      </w:pPr>
    </w:p>
    <w:p w14:paraId="4BD538F3">
      <w:pPr>
        <w:pStyle w:val="26"/>
        <w:ind w:left="0" w:leftChars="0" w:firstLine="1200" w:firstLineChars="500"/>
        <w:rPr>
          <w:rFonts w:ascii="宋体"/>
          <w:sz w:val="24"/>
        </w:rPr>
      </w:pPr>
    </w:p>
    <w:p w14:paraId="633C18B0">
      <w:pPr>
        <w:pStyle w:val="26"/>
        <w:ind w:left="0" w:leftChars="0" w:firstLine="1200" w:firstLineChars="500"/>
        <w:rPr>
          <w:rFonts w:ascii="宋体"/>
          <w:sz w:val="24"/>
        </w:rPr>
      </w:pPr>
    </w:p>
    <w:p w14:paraId="6F22D283">
      <w:pPr>
        <w:pStyle w:val="26"/>
        <w:ind w:left="0" w:leftChars="0" w:firstLine="1200" w:firstLineChars="500"/>
        <w:rPr>
          <w:rFonts w:ascii="宋体"/>
          <w:sz w:val="24"/>
        </w:rPr>
      </w:pPr>
    </w:p>
    <w:p w14:paraId="0DA042A5">
      <w:pPr>
        <w:pStyle w:val="26"/>
        <w:ind w:left="0" w:leftChars="0" w:firstLine="1200" w:firstLineChars="500"/>
        <w:rPr>
          <w:rFonts w:ascii="宋体"/>
          <w:sz w:val="24"/>
        </w:rPr>
      </w:pPr>
    </w:p>
    <w:p w14:paraId="2B99C17F">
      <w:pPr>
        <w:pStyle w:val="26"/>
        <w:ind w:left="0" w:leftChars="0" w:firstLine="1200" w:firstLineChars="500"/>
        <w:rPr>
          <w:rFonts w:ascii="宋体"/>
          <w:sz w:val="24"/>
        </w:rPr>
      </w:pPr>
    </w:p>
    <w:p w14:paraId="0D38705F">
      <w:pPr>
        <w:pStyle w:val="26"/>
        <w:ind w:left="0" w:leftChars="0" w:firstLine="1200" w:firstLineChars="500"/>
        <w:rPr>
          <w:rFonts w:ascii="宋体"/>
          <w:sz w:val="24"/>
        </w:rPr>
      </w:pPr>
    </w:p>
    <w:p w14:paraId="4D257B8B">
      <w:pPr>
        <w:pStyle w:val="26"/>
        <w:ind w:left="0" w:leftChars="0" w:firstLine="1200" w:firstLineChars="500"/>
        <w:rPr>
          <w:rFonts w:ascii="宋体"/>
          <w:sz w:val="24"/>
        </w:rPr>
      </w:pPr>
    </w:p>
    <w:p w14:paraId="2A7D01A4">
      <w:pPr>
        <w:pStyle w:val="26"/>
        <w:ind w:left="0" w:leftChars="0" w:firstLine="1200" w:firstLineChars="500"/>
        <w:rPr>
          <w:rFonts w:ascii="宋体"/>
          <w:sz w:val="24"/>
        </w:rPr>
      </w:pPr>
    </w:p>
    <w:p w14:paraId="23723961">
      <w:pPr>
        <w:pStyle w:val="26"/>
        <w:ind w:left="0" w:leftChars="0" w:firstLine="1200" w:firstLineChars="500"/>
        <w:rPr>
          <w:rFonts w:ascii="宋体"/>
          <w:sz w:val="24"/>
        </w:rPr>
      </w:pPr>
    </w:p>
    <w:p w14:paraId="01825C2B">
      <w:pPr>
        <w:pStyle w:val="26"/>
        <w:ind w:left="0" w:leftChars="0" w:firstLine="1200" w:firstLineChars="500"/>
        <w:rPr>
          <w:rFonts w:ascii="宋体"/>
          <w:sz w:val="24"/>
        </w:rPr>
      </w:pPr>
    </w:p>
    <w:p w14:paraId="6E7ED55D">
      <w:pPr>
        <w:pStyle w:val="26"/>
        <w:ind w:left="0" w:leftChars="0" w:firstLine="1200" w:firstLineChars="500"/>
        <w:rPr>
          <w:rFonts w:ascii="宋体"/>
          <w:sz w:val="24"/>
        </w:rPr>
      </w:pPr>
    </w:p>
    <w:p w14:paraId="288917A2">
      <w:pPr>
        <w:pStyle w:val="26"/>
        <w:ind w:left="0" w:leftChars="0" w:firstLine="1200" w:firstLineChars="500"/>
        <w:rPr>
          <w:rFonts w:ascii="宋体"/>
          <w:sz w:val="24"/>
        </w:rPr>
      </w:pPr>
    </w:p>
    <w:p w14:paraId="191AC053">
      <w:pPr>
        <w:pStyle w:val="26"/>
        <w:ind w:left="0" w:leftChars="0" w:firstLine="1200" w:firstLineChars="500"/>
        <w:rPr>
          <w:rFonts w:ascii="宋体"/>
          <w:sz w:val="24"/>
        </w:rPr>
      </w:pPr>
    </w:p>
    <w:p w14:paraId="3F8021E2">
      <w:pPr>
        <w:pStyle w:val="26"/>
        <w:ind w:left="0" w:leftChars="0" w:firstLine="1200" w:firstLineChars="500"/>
        <w:rPr>
          <w:rFonts w:ascii="宋体"/>
          <w:sz w:val="24"/>
        </w:rPr>
      </w:pPr>
    </w:p>
    <w:p w14:paraId="14254CB0">
      <w:pPr>
        <w:pStyle w:val="26"/>
        <w:ind w:left="0" w:leftChars="0" w:firstLine="1200" w:firstLineChars="500"/>
        <w:rPr>
          <w:rFonts w:ascii="宋体"/>
          <w:sz w:val="24"/>
        </w:rPr>
      </w:pPr>
    </w:p>
    <w:p w14:paraId="5FFD7724">
      <w:pPr>
        <w:pStyle w:val="26"/>
        <w:ind w:left="0" w:leftChars="0" w:firstLine="0" w:firstLineChars="0"/>
        <w:rPr>
          <w:rFonts w:ascii="宋体"/>
          <w:sz w:val="24"/>
        </w:rPr>
      </w:pPr>
    </w:p>
    <w:p w14:paraId="284C4D92">
      <w:pPr>
        <w:pStyle w:val="26"/>
        <w:ind w:left="0" w:leftChars="0" w:firstLine="0" w:firstLineChars="0"/>
        <w:rPr>
          <w:rFonts w:ascii="宋体"/>
          <w:sz w:val="24"/>
        </w:rPr>
      </w:pPr>
    </w:p>
    <w:p w14:paraId="47030197">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28FDB646">
      <w:pPr>
        <w:spacing w:line="360" w:lineRule="auto"/>
        <w:ind w:firstLine="480" w:firstLineChars="200"/>
        <w:rPr>
          <w:rFonts w:hint="eastAsia" w:ascii="宋体" w:hAnsi="宋体" w:cs="宋体"/>
          <w:sz w:val="24"/>
          <w:szCs w:val="24"/>
        </w:rPr>
      </w:pPr>
      <w:r>
        <w:rPr>
          <w:rFonts w:hint="eastAsia" w:ascii="宋体" w:hAnsi="宋体" w:cs="宋体"/>
          <w:sz w:val="24"/>
          <w:szCs w:val="24"/>
        </w:rPr>
        <w:t>北京大学第六医院综合维修科门窗五金、防水补漏零星维修外包服务项目，主要服务于医院各科室提出的，超出综合维修科日常维修范围的各类零星维修项目，服务地点涵盖医院海淀院区、昌平院区，工作</w:t>
      </w:r>
      <w:r>
        <w:rPr>
          <w:rFonts w:hint="eastAsia" w:ascii="宋体" w:hAnsi="宋体" w:cs="宋体"/>
          <w:sz w:val="24"/>
          <w:szCs w:val="24"/>
          <w:lang w:eastAsia="zh-CN"/>
        </w:rPr>
        <w:t>范</w:t>
      </w:r>
      <w:r>
        <w:rPr>
          <w:rFonts w:hint="eastAsia" w:ascii="宋体" w:hAnsi="宋体" w:cs="宋体"/>
          <w:sz w:val="24"/>
          <w:szCs w:val="24"/>
        </w:rPr>
        <w:t>围包括医院海淀、昌平院区门窗五金动火、高空作业维修，海淀、昌平院区小型防水土木修缮等零星维修服务，根据医院精神专科特色的特殊性，要求在保证安全，不影响医院日常工作的情况霞，配合医院后勤综合维修科完成相关专业的维修工作，并保证施工质量。</w:t>
      </w:r>
    </w:p>
    <w:p w14:paraId="7FFA1580">
      <w:pPr>
        <w:spacing w:line="360" w:lineRule="auto"/>
        <w:rPr>
          <w:rFonts w:hint="eastAsia" w:ascii="宋体" w:hAnsi="宋体" w:cs="宋体"/>
          <w:sz w:val="24"/>
          <w:szCs w:val="24"/>
        </w:rPr>
      </w:pPr>
      <w:r>
        <w:rPr>
          <w:rFonts w:hint="eastAsia" w:ascii="宋体" w:hAnsi="宋体" w:cs="宋体"/>
          <w:sz w:val="24"/>
          <w:szCs w:val="24"/>
        </w:rPr>
        <w:t>1、服务时间：本项目试行3个月，采购完成后于中标单位签订合同，自合同签订之日起3个月。</w:t>
      </w:r>
    </w:p>
    <w:p w14:paraId="39C01B5F">
      <w:pPr>
        <w:spacing w:line="360" w:lineRule="auto"/>
        <w:rPr>
          <w:rFonts w:hint="eastAsia" w:ascii="宋体" w:hAnsi="宋体" w:cs="宋体"/>
          <w:sz w:val="24"/>
          <w:szCs w:val="24"/>
        </w:rPr>
      </w:pPr>
      <w:r>
        <w:rPr>
          <w:rFonts w:hint="eastAsia" w:ascii="宋体" w:hAnsi="宋体" w:cs="宋体"/>
          <w:sz w:val="24"/>
          <w:szCs w:val="24"/>
        </w:rPr>
        <w:t>合同服务期为3个月。</w:t>
      </w:r>
    </w:p>
    <w:p w14:paraId="4C6B483F">
      <w:pPr>
        <w:spacing w:line="360" w:lineRule="auto"/>
        <w:jc w:val="left"/>
        <w:rPr>
          <w:rFonts w:hint="eastAsia" w:ascii="宋体" w:hAnsi="宋体" w:cs="宋体"/>
          <w:sz w:val="24"/>
          <w:szCs w:val="24"/>
        </w:rPr>
      </w:pPr>
      <w:r>
        <w:rPr>
          <w:rFonts w:hint="eastAsia" w:ascii="宋体" w:hAnsi="宋体" w:cs="宋体"/>
          <w:sz w:val="24"/>
          <w:szCs w:val="24"/>
        </w:rPr>
        <w:t>2、工作地点：北京大学第六医院海淀院区、昌平院区。</w:t>
      </w:r>
    </w:p>
    <w:p w14:paraId="3AEB0D32">
      <w:pPr>
        <w:spacing w:line="360" w:lineRule="auto"/>
        <w:rPr>
          <w:rFonts w:hint="eastAsia" w:ascii="宋体" w:hAnsi="宋体" w:cs="宋体"/>
          <w:sz w:val="24"/>
          <w:szCs w:val="24"/>
        </w:rPr>
      </w:pPr>
      <w:r>
        <w:rPr>
          <w:rFonts w:hint="eastAsia" w:ascii="宋体" w:hAnsi="宋体" w:cs="宋体"/>
          <w:sz w:val="24"/>
          <w:szCs w:val="24"/>
        </w:rPr>
        <w:t xml:space="preserve">3、服务内容：服务于医院各科室提出的，超出综合维修科日常维修范围的各类零星维修项目，服务地点涵盖医院海淀院区、昌平院区，工作外围包括医院海淀、昌平院区门窗五金动火、高空作业维修，海淀、昌平院区小型防水土木修缮等零星维修服务。 </w:t>
      </w:r>
    </w:p>
    <w:p w14:paraId="6978F6F8">
      <w:pPr>
        <w:spacing w:line="360" w:lineRule="auto"/>
        <w:rPr>
          <w:rFonts w:hint="eastAsia" w:ascii="宋体" w:hAnsi="宋体" w:cs="宋体"/>
          <w:sz w:val="24"/>
          <w:szCs w:val="24"/>
        </w:rPr>
      </w:pPr>
      <w:r>
        <w:rPr>
          <w:rFonts w:hint="eastAsia" w:ascii="宋体" w:hAnsi="宋体" w:cs="宋体"/>
          <w:sz w:val="24"/>
          <w:szCs w:val="24"/>
        </w:rPr>
        <w:t>4、本项目总体要求：要求响应人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p w14:paraId="61CFCB56">
      <w:pPr>
        <w:spacing w:line="360" w:lineRule="auto"/>
        <w:rPr>
          <w:rFonts w:hint="eastAsia"/>
          <w:sz w:val="24"/>
        </w:rPr>
      </w:pPr>
      <w:r>
        <w:rPr>
          <w:rFonts w:hint="eastAsia"/>
          <w:sz w:val="24"/>
        </w:rPr>
        <w:t>5、包1门窗五金维修服务需求：</w:t>
      </w:r>
    </w:p>
    <w:p w14:paraId="3BD3950F">
      <w:pPr>
        <w:pStyle w:val="2"/>
        <w:jc w:val="both"/>
        <w:rPr>
          <w:rFonts w:hint="default" w:ascii="宋体" w:hAnsi="宋体" w:eastAsia="宋体" w:cs="宋体"/>
          <w:b w:val="0"/>
          <w:sz w:val="24"/>
          <w:szCs w:val="24"/>
          <w:highlight w:val="none"/>
          <w:lang w:val="en-US" w:eastAsia="zh-CN" w:bidi="ar-SA"/>
        </w:rPr>
      </w:pPr>
      <w:r>
        <w:rPr>
          <w:rFonts w:hint="eastAsia" w:ascii="Times New Roman" w:hAnsi="Times New Roman" w:eastAsia="宋体" w:cs="Times New Roman"/>
          <w:b w:val="0"/>
          <w:sz w:val="24"/>
          <w:lang w:val="en-US" w:eastAsia="zh-CN" w:bidi="ar-SA"/>
        </w:rPr>
        <w:t>5.1</w:t>
      </w:r>
      <w:r>
        <w:rPr>
          <w:rFonts w:hint="eastAsia" w:ascii="宋体" w:hAnsi="宋体" w:eastAsia="宋体" w:cs="宋体"/>
          <w:b w:val="0"/>
          <w:sz w:val="24"/>
          <w:szCs w:val="24"/>
          <w:highlight w:val="none"/>
          <w:lang w:val="en-US" w:eastAsia="zh-CN" w:bidi="ar-SA"/>
        </w:rPr>
        <w:t>预算不超4</w:t>
      </w:r>
      <w:r>
        <w:rPr>
          <w:rFonts w:hint="eastAsia" w:ascii="宋体" w:hAnsi="宋体" w:cs="宋体"/>
          <w:b w:val="0"/>
          <w:sz w:val="24"/>
          <w:szCs w:val="24"/>
          <w:highlight w:val="none"/>
          <w:lang w:val="en-US" w:eastAsia="zh-CN" w:bidi="ar-SA"/>
        </w:rPr>
        <w:t>5</w:t>
      </w:r>
      <w:bookmarkStart w:id="1" w:name="_GoBack"/>
      <w:bookmarkEnd w:id="1"/>
      <w:r>
        <w:rPr>
          <w:rFonts w:hint="eastAsia" w:ascii="宋体" w:hAnsi="宋体" w:eastAsia="宋体" w:cs="宋体"/>
          <w:b w:val="0"/>
          <w:sz w:val="24"/>
          <w:szCs w:val="24"/>
          <w:highlight w:val="none"/>
          <w:lang w:val="en-US" w:eastAsia="zh-CN" w:bidi="ar-SA"/>
        </w:rPr>
        <w:t>000元</w:t>
      </w:r>
    </w:p>
    <w:p w14:paraId="0C78A6EC">
      <w:pPr>
        <w:spacing w:line="360" w:lineRule="auto"/>
        <w:rPr>
          <w:rFonts w:hint="eastAsia" w:ascii="宋体" w:hAnsi="宋体" w:eastAsia="宋体" w:cs="宋体"/>
          <w:sz w:val="24"/>
          <w:szCs w:val="24"/>
          <w:lang w:val="en-US" w:eastAsia="zh-CN" w:bidi="ar-SA"/>
        </w:rPr>
      </w:pPr>
      <w:r>
        <w:rPr>
          <w:rFonts w:hint="eastAsia"/>
          <w:sz w:val="24"/>
        </w:rPr>
        <w:t>5.</w:t>
      </w:r>
      <w:r>
        <w:rPr>
          <w:rFonts w:hint="eastAsia"/>
          <w:sz w:val="24"/>
          <w:lang w:val="en-US" w:eastAsia="zh-CN"/>
        </w:rPr>
        <w:t>2</w:t>
      </w:r>
      <w:r>
        <w:rPr>
          <w:rFonts w:hint="eastAsia" w:ascii="宋体" w:hAnsi="宋体" w:eastAsia="宋体" w:cs="宋体"/>
          <w:sz w:val="24"/>
          <w:szCs w:val="24"/>
          <w:lang w:val="en-US" w:eastAsia="zh-CN" w:bidi="ar-SA"/>
        </w:rPr>
        <w:t>响应人需根据不同维修场景，指定应急管理局下发有效期内的制焊条电弧焊与碳弧气割、气焊气体保护焊（二氧化碳保护焊）、气体保护焊（手工钨极氩弧焊）特种作业操作证书的人员为该项目现场维修人员（提供承诺函加盖公章），每次在科室提出维修需求时必须在24小时内响应，踏勘现场并提供方案报价。</w:t>
      </w:r>
    </w:p>
    <w:p w14:paraId="61986C28">
      <w:pPr>
        <w:pStyle w:val="58"/>
        <w:ind w:firstLine="0" w:firstLineChars="0"/>
        <w:jc w:val="left"/>
        <w:rPr>
          <w:rFonts w:hint="eastAsia" w:ascii="Times New Roman" w:hAnsi="Times New Roman" w:eastAsia="宋体" w:cs="Times New Roman"/>
          <w:b w:val="0"/>
          <w:sz w:val="24"/>
          <w:szCs w:val="20"/>
          <w:lang w:val="en-US" w:eastAsia="zh-CN" w:bidi="ar-SA"/>
        </w:rPr>
      </w:pPr>
      <w:r>
        <w:rPr>
          <w:rFonts w:hint="eastAsia" w:ascii="Times New Roman" w:hAnsi="Times New Roman" w:eastAsia="宋体" w:cs="Times New Roman"/>
          <w:b w:val="0"/>
          <w:sz w:val="24"/>
          <w:szCs w:val="20"/>
          <w:lang w:val="en-US" w:eastAsia="zh-CN" w:bidi="ar-SA"/>
        </w:rPr>
        <w:t>5.3根据采购人确定后的维修方案快速有效的组织维修。</w:t>
      </w:r>
    </w:p>
    <w:p w14:paraId="4BE3BD1E">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5.4</w:t>
      </w:r>
      <w:r>
        <w:rPr>
          <w:rFonts w:hint="eastAsia" w:ascii="宋体" w:hAnsi="宋体" w:eastAsia="宋体"/>
          <w:sz w:val="24"/>
          <w:szCs w:val="24"/>
        </w:rPr>
        <w:t>由于医院属于特殊场所，为保证医院的正常医疗秩序，响应人在日常维修时间需服从采购人的安排。</w:t>
      </w:r>
    </w:p>
    <w:p w14:paraId="3C02162C">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5.5</w:t>
      </w:r>
      <w:r>
        <w:rPr>
          <w:rFonts w:hint="eastAsia" w:ascii="宋体" w:hAnsi="宋体" w:eastAsia="宋体"/>
          <w:sz w:val="24"/>
          <w:szCs w:val="24"/>
        </w:rPr>
        <w:t>保证维修质量，严格遵守国家和北京市的相关安全生产规定及医院的安全生产管理制度并对作业安全负责，动火前需要到医院动火作业管理部门备案并自行上报京通企安安，此外响应人根据修缮范围判断是否需要赴片区城管办理限额以下小型工程施工手续，作业期间发生安全事件，一切损失自行承担。</w:t>
      </w:r>
    </w:p>
    <w:p w14:paraId="7580B46B">
      <w:pPr>
        <w:pStyle w:val="26"/>
        <w:ind w:left="0" w:leftChars="0" w:firstLine="0" w:firstLineChars="0"/>
        <w:rPr>
          <w:sz w:val="24"/>
        </w:rPr>
      </w:pPr>
    </w:p>
    <w:p w14:paraId="57CFA1C8">
      <w:pPr>
        <w:pStyle w:val="26"/>
        <w:ind w:left="0" w:leftChars="0" w:firstLine="0" w:firstLineChars="0"/>
        <w:rPr>
          <w:sz w:val="24"/>
        </w:rPr>
      </w:pPr>
    </w:p>
    <w:p w14:paraId="643DF533">
      <w:pPr>
        <w:pStyle w:val="26"/>
        <w:ind w:left="0" w:leftChars="0" w:firstLine="0" w:firstLineChars="0"/>
        <w:rPr>
          <w:sz w:val="24"/>
        </w:rPr>
      </w:pPr>
    </w:p>
    <w:p w14:paraId="22AAEB05">
      <w:pPr>
        <w:pStyle w:val="26"/>
        <w:ind w:left="0" w:leftChars="0" w:firstLine="0" w:firstLineChars="0"/>
        <w:rPr>
          <w:sz w:val="24"/>
        </w:rPr>
      </w:pPr>
    </w:p>
    <w:p w14:paraId="5141AF72">
      <w:pPr>
        <w:pStyle w:val="26"/>
        <w:ind w:left="0" w:leftChars="0" w:firstLine="0" w:firstLineChars="0"/>
        <w:rPr>
          <w:sz w:val="24"/>
        </w:rPr>
      </w:pPr>
    </w:p>
    <w:p w14:paraId="687AB9FD">
      <w:pPr>
        <w:pStyle w:val="26"/>
        <w:ind w:left="0" w:leftChars="0" w:firstLine="0" w:firstLineChars="0"/>
        <w:rPr>
          <w:sz w:val="24"/>
        </w:rPr>
      </w:pPr>
    </w:p>
    <w:p w14:paraId="6AB0CC06">
      <w:pPr>
        <w:pStyle w:val="26"/>
        <w:ind w:left="0" w:leftChars="0" w:firstLine="0" w:firstLineChars="0"/>
        <w:rPr>
          <w:sz w:val="24"/>
        </w:rPr>
      </w:pPr>
    </w:p>
    <w:p w14:paraId="225774B4">
      <w:pPr>
        <w:pStyle w:val="26"/>
        <w:ind w:left="0" w:leftChars="0" w:firstLine="0" w:firstLineChars="0"/>
        <w:rPr>
          <w:sz w:val="24"/>
        </w:rPr>
      </w:pPr>
    </w:p>
    <w:p w14:paraId="42C67909">
      <w:pPr>
        <w:pStyle w:val="26"/>
        <w:ind w:left="0" w:leftChars="0" w:firstLine="0" w:firstLineChars="0"/>
        <w:rPr>
          <w:sz w:val="24"/>
        </w:rPr>
      </w:pPr>
    </w:p>
    <w:p w14:paraId="40EF6550">
      <w:pPr>
        <w:pStyle w:val="26"/>
        <w:ind w:left="0" w:leftChars="0" w:firstLine="0" w:firstLineChars="0"/>
        <w:rPr>
          <w:sz w:val="24"/>
        </w:rPr>
      </w:pPr>
    </w:p>
    <w:p w14:paraId="0A1A59F5">
      <w:pPr>
        <w:pStyle w:val="26"/>
        <w:ind w:left="0" w:leftChars="0" w:firstLine="0" w:firstLineChars="0"/>
        <w:rPr>
          <w:sz w:val="24"/>
        </w:rPr>
      </w:pPr>
    </w:p>
    <w:p w14:paraId="66F676C4">
      <w:pPr>
        <w:pStyle w:val="26"/>
        <w:ind w:left="0" w:leftChars="0" w:firstLine="0" w:firstLineChars="0"/>
        <w:rPr>
          <w:sz w:val="24"/>
        </w:rPr>
      </w:pPr>
    </w:p>
    <w:p w14:paraId="001E855C">
      <w:pPr>
        <w:pStyle w:val="26"/>
        <w:ind w:left="0" w:leftChars="0" w:firstLine="0" w:firstLineChars="0"/>
        <w:rPr>
          <w:sz w:val="24"/>
        </w:rPr>
      </w:pPr>
    </w:p>
    <w:p w14:paraId="634061B2">
      <w:pPr>
        <w:pStyle w:val="26"/>
        <w:ind w:left="0" w:leftChars="0" w:firstLine="0" w:firstLineChars="0"/>
        <w:rPr>
          <w:sz w:val="24"/>
        </w:rPr>
      </w:pPr>
    </w:p>
    <w:p w14:paraId="55CAFB43">
      <w:pPr>
        <w:pStyle w:val="26"/>
        <w:ind w:left="0" w:leftChars="0" w:firstLine="0" w:firstLineChars="0"/>
        <w:rPr>
          <w:sz w:val="24"/>
        </w:rPr>
      </w:pPr>
    </w:p>
    <w:p w14:paraId="5EB3A340">
      <w:pPr>
        <w:pStyle w:val="26"/>
        <w:ind w:left="0" w:leftChars="0" w:firstLine="0" w:firstLineChars="0"/>
        <w:rPr>
          <w:sz w:val="24"/>
        </w:rPr>
      </w:pPr>
    </w:p>
    <w:p w14:paraId="3D4AD9A0">
      <w:pPr>
        <w:pStyle w:val="26"/>
        <w:ind w:left="0" w:leftChars="0" w:firstLine="0" w:firstLineChars="0"/>
        <w:rPr>
          <w:sz w:val="24"/>
        </w:rPr>
      </w:pPr>
    </w:p>
    <w:p w14:paraId="01D7F2ED">
      <w:pPr>
        <w:pStyle w:val="26"/>
        <w:ind w:left="0" w:leftChars="0" w:firstLine="0" w:firstLineChars="0"/>
        <w:rPr>
          <w:sz w:val="24"/>
        </w:rPr>
      </w:pPr>
    </w:p>
    <w:p w14:paraId="30B2C9E0">
      <w:pPr>
        <w:pStyle w:val="26"/>
        <w:ind w:left="0" w:leftChars="0" w:firstLine="0" w:firstLineChars="0"/>
        <w:rPr>
          <w:sz w:val="24"/>
        </w:rPr>
      </w:pPr>
    </w:p>
    <w:p w14:paraId="717314BF">
      <w:pPr>
        <w:pStyle w:val="26"/>
        <w:ind w:left="0" w:leftChars="0" w:firstLine="0" w:firstLineChars="0"/>
        <w:rPr>
          <w:sz w:val="24"/>
        </w:rPr>
      </w:pPr>
    </w:p>
    <w:p w14:paraId="0E77A861">
      <w:pPr>
        <w:pStyle w:val="26"/>
        <w:ind w:left="0" w:leftChars="0" w:firstLine="0" w:firstLineChars="0"/>
        <w:rPr>
          <w:sz w:val="24"/>
        </w:rPr>
      </w:pPr>
    </w:p>
    <w:p w14:paraId="77BA2173">
      <w:pPr>
        <w:pStyle w:val="26"/>
        <w:ind w:left="0" w:leftChars="0" w:firstLine="0" w:firstLineChars="0"/>
        <w:rPr>
          <w:sz w:val="24"/>
        </w:rPr>
      </w:pPr>
    </w:p>
    <w:p w14:paraId="30878FF4">
      <w:pPr>
        <w:pStyle w:val="26"/>
        <w:ind w:left="0" w:leftChars="0" w:firstLine="0" w:firstLineChars="0"/>
        <w:rPr>
          <w:sz w:val="24"/>
        </w:rPr>
      </w:pPr>
    </w:p>
    <w:p w14:paraId="0B216953">
      <w:pPr>
        <w:pStyle w:val="26"/>
        <w:ind w:left="0" w:leftChars="0" w:firstLine="0" w:firstLineChars="0"/>
        <w:rPr>
          <w:sz w:val="24"/>
        </w:rPr>
      </w:pPr>
    </w:p>
    <w:p w14:paraId="6BF041C5">
      <w:pPr>
        <w:pStyle w:val="26"/>
        <w:ind w:left="0" w:leftChars="0" w:firstLine="0" w:firstLineChars="0"/>
        <w:rPr>
          <w:sz w:val="24"/>
        </w:rPr>
      </w:pPr>
    </w:p>
    <w:p w14:paraId="708085E8">
      <w:pPr>
        <w:pStyle w:val="26"/>
        <w:ind w:left="0" w:leftChars="0" w:firstLine="0" w:firstLineChars="0"/>
        <w:rPr>
          <w:sz w:val="24"/>
        </w:rPr>
      </w:pPr>
    </w:p>
    <w:p w14:paraId="4858575E">
      <w:pPr>
        <w:pStyle w:val="26"/>
        <w:ind w:left="0" w:leftChars="0" w:firstLine="0" w:firstLineChars="0"/>
        <w:rPr>
          <w:sz w:val="24"/>
        </w:rPr>
      </w:pPr>
    </w:p>
    <w:p w14:paraId="0AC5D91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15DCCA27">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甲方单位名称：</w:t>
      </w:r>
      <w:r>
        <w:rPr>
          <w:rFonts w:hint="eastAsia" w:ascii="宋体" w:hAnsi="宋体" w:cs="宋体"/>
          <w:snapToGrid w:val="0"/>
          <w:color w:val="000000"/>
          <w:sz w:val="24"/>
          <w:szCs w:val="21"/>
        </w:rPr>
        <w:t>北京大学第六医院</w:t>
      </w:r>
    </w:p>
    <w:p w14:paraId="0FA48273">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r>
        <w:rPr>
          <w:rFonts w:hint="eastAsia" w:ascii="宋体" w:hAnsi="宋体" w:cs="宋体"/>
          <w:snapToGrid w:val="0"/>
          <w:color w:val="000000"/>
          <w:sz w:val="24"/>
          <w:szCs w:val="21"/>
        </w:rPr>
        <w:t>北京市海淀区花园北路51号/北京市昌平区科学园路2号</w:t>
      </w:r>
    </w:p>
    <w:p w14:paraId="0292BC26">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64E39018">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乙方单位名称：</w:t>
      </w:r>
    </w:p>
    <w:p w14:paraId="7EFED9E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p>
    <w:p w14:paraId="434FC259">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3C74B9B6">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北京大学第六医院零星维修外包服务项目，主要服务于医院各科室提出的，超出医院综合维修科物业日常维修范围的各类零星维修项目，服务地点涵盖医院海淀院区、昌平院区，根据医院精神专科特色的特殊性，要求在保证安全，不影响医院日常工作的情况霞，配合医院后勤综合维修科完成相关专业的维修工作，并保证施工质量。</w:t>
      </w:r>
      <w:r>
        <w:rPr>
          <w:rFonts w:ascii="宋体" w:hAnsi="宋体" w:cs="宋体"/>
          <w:snapToGrid w:val="0"/>
          <w:color w:val="000000"/>
          <w:sz w:val="24"/>
          <w:szCs w:val="21"/>
        </w:rPr>
        <w:t>甲乙双方根据《中华人民共和国</w:t>
      </w:r>
      <w:r>
        <w:rPr>
          <w:rFonts w:hint="eastAsia" w:ascii="宋体" w:hAnsi="宋体" w:cs="宋体"/>
          <w:snapToGrid w:val="0"/>
          <w:color w:val="000000"/>
          <w:sz w:val="24"/>
          <w:szCs w:val="21"/>
        </w:rPr>
        <w:t>民法典</w:t>
      </w:r>
      <w:r>
        <w:rPr>
          <w:rFonts w:ascii="宋体" w:hAnsi="宋体" w:cs="宋体"/>
          <w:snapToGrid w:val="0"/>
          <w:color w:val="000000"/>
          <w:sz w:val="24"/>
          <w:szCs w:val="21"/>
        </w:rPr>
        <w:t>》及其他有关法律、行政法规，遵循平等、自愿、公平和诚实守信的原则，双方就本</w:t>
      </w:r>
      <w:r>
        <w:rPr>
          <w:rFonts w:hint="eastAsia" w:ascii="宋体" w:hAnsi="宋体" w:cs="宋体"/>
          <w:snapToGrid w:val="0"/>
          <w:color w:val="000000"/>
          <w:sz w:val="24"/>
          <w:szCs w:val="21"/>
        </w:rPr>
        <w:t>合同</w:t>
      </w:r>
      <w:r>
        <w:rPr>
          <w:rFonts w:ascii="宋体" w:hAnsi="宋体" w:cs="宋体"/>
          <w:snapToGrid w:val="0"/>
          <w:color w:val="000000"/>
          <w:sz w:val="24"/>
          <w:szCs w:val="21"/>
        </w:rPr>
        <w:t>事项协商达成一致，特此制定如下事项：</w:t>
      </w:r>
    </w:p>
    <w:p w14:paraId="65786A1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一、</w:t>
      </w:r>
      <w:r>
        <w:rPr>
          <w:rFonts w:hint="eastAsia" w:ascii="宋体" w:hAnsi="宋体" w:cs="宋体"/>
          <w:snapToGrid w:val="0"/>
          <w:color w:val="000000"/>
          <w:sz w:val="24"/>
          <w:szCs w:val="21"/>
        </w:rPr>
        <w:t>甲方义务和责任</w:t>
      </w:r>
    </w:p>
    <w:p w14:paraId="260A8D3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1、甲方将</w:t>
      </w:r>
      <w:r>
        <w:rPr>
          <w:rFonts w:hint="eastAsia" w:ascii="宋体" w:hAnsi="宋体" w:cs="宋体"/>
          <w:snapToGrid w:val="0"/>
          <w:color w:val="000000"/>
          <w:sz w:val="24"/>
          <w:szCs w:val="21"/>
        </w:rPr>
        <w:t>医院海淀院区、昌平院区</w:t>
      </w:r>
      <w:r>
        <w:rPr>
          <w:rFonts w:ascii="宋体" w:hAnsi="宋体" w:cs="宋体"/>
          <w:snapToGrid w:val="0"/>
          <w:color w:val="000000"/>
          <w:sz w:val="24"/>
          <w:szCs w:val="21"/>
        </w:rPr>
        <w:t>院内所有</w:t>
      </w:r>
      <w:r>
        <w:rPr>
          <w:rFonts w:hint="eastAsia" w:ascii="宋体" w:hAnsi="宋体" w:cs="宋体"/>
          <w:snapToGrid w:val="0"/>
          <w:color w:val="000000"/>
          <w:sz w:val="24"/>
          <w:szCs w:val="21"/>
          <w:u w:val="single"/>
        </w:rPr>
        <w:t xml:space="preserve">    </w:t>
      </w:r>
      <w:r>
        <w:rPr>
          <w:rFonts w:ascii="宋体" w:hAnsi="宋体" w:cs="宋体"/>
          <w:snapToGrid w:val="0"/>
          <w:color w:val="000000"/>
          <w:sz w:val="24"/>
          <w:szCs w:val="21"/>
        </w:rPr>
        <w:t>零星</w:t>
      </w:r>
      <w:r>
        <w:rPr>
          <w:rFonts w:hint="eastAsia" w:ascii="宋体" w:hAnsi="宋体" w:cs="宋体"/>
          <w:snapToGrid w:val="0"/>
          <w:color w:val="000000"/>
          <w:sz w:val="24"/>
          <w:szCs w:val="21"/>
        </w:rPr>
        <w:t>维修任务</w:t>
      </w:r>
      <w:r>
        <w:rPr>
          <w:rFonts w:ascii="宋体" w:hAnsi="宋体" w:cs="宋体"/>
          <w:snapToGrid w:val="0"/>
          <w:color w:val="000000"/>
          <w:sz w:val="24"/>
          <w:szCs w:val="21"/>
        </w:rPr>
        <w:t>承包给乙方，承包期为</w:t>
      </w:r>
      <w:r>
        <w:rPr>
          <w:rFonts w:hint="eastAsia" w:ascii="宋体" w:hAnsi="宋体" w:cs="宋体"/>
          <w:snapToGrid w:val="0"/>
          <w:color w:val="000000"/>
          <w:sz w:val="24"/>
          <w:szCs w:val="21"/>
        </w:rPr>
        <w:t>3个月</w:t>
      </w:r>
      <w:r>
        <w:rPr>
          <w:rFonts w:ascii="宋体" w:hAnsi="宋体" w:cs="宋体"/>
          <w:snapToGrid w:val="0"/>
          <w:color w:val="000000"/>
          <w:sz w:val="24"/>
          <w:szCs w:val="21"/>
        </w:rPr>
        <w:t>，自    年    月    日起至    年    月   日止。</w:t>
      </w:r>
    </w:p>
    <w:p w14:paraId="283E198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2、甲方应为乙方在</w:t>
      </w:r>
      <w:r>
        <w:rPr>
          <w:rFonts w:hint="eastAsia" w:ascii="宋体" w:hAnsi="宋体" w:cs="宋体"/>
          <w:snapToGrid w:val="0"/>
          <w:color w:val="000000"/>
          <w:sz w:val="24"/>
          <w:szCs w:val="21"/>
        </w:rPr>
        <w:t>院内</w:t>
      </w:r>
      <w:r>
        <w:rPr>
          <w:rFonts w:ascii="宋体" w:hAnsi="宋体" w:cs="宋体"/>
          <w:snapToGrid w:val="0"/>
          <w:color w:val="000000"/>
          <w:sz w:val="24"/>
          <w:szCs w:val="21"/>
        </w:rPr>
        <w:t>维修期间的工作人员提供水、电。乙方应</w:t>
      </w:r>
      <w:r>
        <w:rPr>
          <w:rFonts w:hint="eastAsia" w:ascii="宋体" w:hAnsi="宋体" w:cs="宋体"/>
          <w:snapToGrid w:val="0"/>
          <w:color w:val="000000"/>
          <w:sz w:val="24"/>
          <w:szCs w:val="21"/>
        </w:rPr>
        <w:t>确保维修期间的用水、用电安全。</w:t>
      </w:r>
    </w:p>
    <w:p w14:paraId="019DFB6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3、乙方在接到甲方相关管理人员下达的维修</w:t>
      </w:r>
      <w:r>
        <w:rPr>
          <w:rFonts w:hint="eastAsia" w:ascii="宋体" w:hAnsi="宋体" w:cs="宋体"/>
          <w:snapToGrid w:val="0"/>
          <w:color w:val="000000"/>
          <w:sz w:val="24"/>
          <w:szCs w:val="21"/>
        </w:rPr>
        <w:t>需求</w:t>
      </w:r>
      <w:r>
        <w:rPr>
          <w:rFonts w:ascii="宋体" w:hAnsi="宋体" w:cs="宋体"/>
          <w:snapToGrid w:val="0"/>
          <w:color w:val="000000"/>
          <w:sz w:val="24"/>
          <w:szCs w:val="21"/>
        </w:rPr>
        <w:t>后，</w:t>
      </w:r>
      <w:r>
        <w:rPr>
          <w:rFonts w:hint="eastAsia" w:ascii="宋体" w:hAnsi="宋体" w:cs="宋体"/>
          <w:snapToGrid w:val="0"/>
          <w:color w:val="000000"/>
          <w:sz w:val="24"/>
          <w:szCs w:val="21"/>
        </w:rPr>
        <w:t>必须在24小时内响应，踏勘现场并提供方案报价，并根据甲方确定后的维修方案快速有效的组织维修。</w:t>
      </w:r>
    </w:p>
    <w:p w14:paraId="304ABFDF">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w:t>
      </w:r>
    </w:p>
    <w:p w14:paraId="5CE170CC">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、甲乙双方制定在维修使用材料</w:t>
      </w:r>
      <w:r>
        <w:rPr>
          <w:rFonts w:hint="eastAsia" w:ascii="宋体" w:hAnsi="宋体" w:cs="宋体"/>
          <w:snapToGrid w:val="0"/>
          <w:color w:val="000000"/>
          <w:sz w:val="24"/>
          <w:szCs w:val="21"/>
        </w:rPr>
        <w:t>，在非人为破坏或自然灾害的情况下，乙方</w:t>
      </w:r>
      <w:r>
        <w:rPr>
          <w:rFonts w:ascii="宋体" w:hAnsi="宋体" w:cs="宋体"/>
          <w:snapToGrid w:val="0"/>
          <w:color w:val="000000"/>
          <w:sz w:val="24"/>
          <w:szCs w:val="21"/>
        </w:rPr>
        <w:t>必须保质保量六个月包修包换免费义务</w:t>
      </w:r>
      <w:r>
        <w:rPr>
          <w:rFonts w:hint="eastAsia" w:ascii="宋体" w:hAnsi="宋体" w:cs="宋体"/>
          <w:snapToGrid w:val="0"/>
          <w:color w:val="000000"/>
          <w:sz w:val="24"/>
          <w:szCs w:val="21"/>
        </w:rPr>
        <w:t>。</w:t>
      </w:r>
      <w:r>
        <w:rPr>
          <w:rFonts w:ascii="宋体" w:hAnsi="宋体" w:cs="宋体"/>
          <w:snapToGrid w:val="0"/>
          <w:color w:val="000000"/>
          <w:sz w:val="24"/>
          <w:szCs w:val="21"/>
        </w:rPr>
        <w:t xml:space="preserve"> </w:t>
      </w:r>
    </w:p>
    <w:p w14:paraId="47E46153">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5</w:t>
      </w:r>
      <w:r>
        <w:rPr>
          <w:rFonts w:ascii="宋体" w:hAnsi="宋体" w:cs="宋体"/>
          <w:snapToGrid w:val="0"/>
          <w:color w:val="000000"/>
          <w:sz w:val="24"/>
          <w:szCs w:val="21"/>
        </w:rPr>
        <w:t>、结算方式：乙方</w:t>
      </w:r>
      <w:r>
        <w:rPr>
          <w:rFonts w:hint="eastAsia" w:ascii="宋体" w:hAnsi="宋体" w:cs="宋体"/>
          <w:snapToGrid w:val="0"/>
          <w:color w:val="000000"/>
          <w:sz w:val="24"/>
          <w:szCs w:val="21"/>
        </w:rPr>
        <w:t>应于</w:t>
      </w:r>
      <w:r>
        <w:rPr>
          <w:rFonts w:ascii="宋体" w:hAnsi="宋体" w:cs="宋体"/>
          <w:snapToGrid w:val="0"/>
          <w:color w:val="000000"/>
          <w:sz w:val="24"/>
          <w:szCs w:val="21"/>
        </w:rPr>
        <w:t>每月</w:t>
      </w:r>
      <w:r>
        <w:rPr>
          <w:rFonts w:hint="eastAsia" w:ascii="宋体" w:hAnsi="宋体" w:cs="宋体"/>
          <w:snapToGrid w:val="0"/>
          <w:color w:val="000000"/>
          <w:sz w:val="24"/>
          <w:szCs w:val="21"/>
        </w:rPr>
        <w:t>初5个工作日内</w:t>
      </w:r>
      <w:r>
        <w:rPr>
          <w:rFonts w:ascii="宋体" w:hAnsi="宋体" w:cs="宋体"/>
          <w:snapToGrid w:val="0"/>
          <w:color w:val="000000"/>
          <w:sz w:val="24"/>
          <w:szCs w:val="21"/>
        </w:rPr>
        <w:t>将上月全院的</w:t>
      </w:r>
      <w:r>
        <w:rPr>
          <w:rFonts w:hint="eastAsia" w:ascii="宋体" w:hAnsi="宋体" w:cs="宋体"/>
          <w:snapToGrid w:val="0"/>
          <w:color w:val="000000"/>
          <w:sz w:val="24"/>
          <w:szCs w:val="21"/>
        </w:rPr>
        <w:t>维修</w:t>
      </w:r>
      <w:r>
        <w:rPr>
          <w:rFonts w:ascii="宋体" w:hAnsi="宋体" w:cs="宋体"/>
          <w:snapToGrid w:val="0"/>
          <w:color w:val="000000"/>
          <w:sz w:val="24"/>
          <w:szCs w:val="21"/>
        </w:rPr>
        <w:t>预算交予甲</w:t>
      </w:r>
      <w:r>
        <w:rPr>
          <w:rFonts w:hint="eastAsia" w:ascii="宋体" w:hAnsi="宋体" w:cs="宋体"/>
          <w:snapToGrid w:val="0"/>
          <w:color w:val="000000"/>
          <w:sz w:val="24"/>
          <w:szCs w:val="21"/>
        </w:rPr>
        <w:t>方负责人</w:t>
      </w:r>
      <w:r>
        <w:rPr>
          <w:rFonts w:ascii="宋体" w:hAnsi="宋体" w:cs="宋体"/>
          <w:snapToGrid w:val="0"/>
          <w:color w:val="000000"/>
          <w:sz w:val="24"/>
          <w:szCs w:val="21"/>
        </w:rPr>
        <w:t>审核，过期不交视为自动放弃</w:t>
      </w:r>
      <w:r>
        <w:rPr>
          <w:rFonts w:hint="eastAsia" w:ascii="宋体" w:hAnsi="宋体" w:cs="宋体"/>
          <w:snapToGrid w:val="0"/>
          <w:color w:val="000000"/>
          <w:sz w:val="24"/>
          <w:szCs w:val="21"/>
        </w:rPr>
        <w:t>，</w:t>
      </w:r>
      <w:r>
        <w:rPr>
          <w:rFonts w:ascii="宋体" w:hAnsi="宋体" w:cs="宋体"/>
          <w:snapToGrid w:val="0"/>
          <w:color w:val="000000"/>
          <w:sz w:val="24"/>
          <w:szCs w:val="21"/>
        </w:rPr>
        <w:t>按照每月</w:t>
      </w:r>
      <w:r>
        <w:rPr>
          <w:rFonts w:hint="eastAsia" w:ascii="宋体" w:hAnsi="宋体" w:cs="宋体"/>
          <w:snapToGrid w:val="0"/>
          <w:color w:val="000000"/>
          <w:sz w:val="24"/>
          <w:szCs w:val="21"/>
        </w:rPr>
        <w:t>月初</w:t>
      </w:r>
      <w:r>
        <w:rPr>
          <w:rFonts w:ascii="宋体" w:hAnsi="宋体" w:cs="宋体"/>
          <w:snapToGrid w:val="0"/>
          <w:color w:val="000000"/>
          <w:sz w:val="24"/>
          <w:szCs w:val="21"/>
        </w:rPr>
        <w:t>报价，</w:t>
      </w:r>
      <w:r>
        <w:rPr>
          <w:rFonts w:hint="eastAsia" w:ascii="宋体" w:hAnsi="宋体" w:cs="宋体"/>
          <w:snapToGrid w:val="0"/>
          <w:color w:val="000000"/>
          <w:sz w:val="24"/>
          <w:szCs w:val="21"/>
        </w:rPr>
        <w:t>月中审核，</w:t>
      </w:r>
      <w:r>
        <w:rPr>
          <w:rFonts w:ascii="宋体" w:hAnsi="宋体" w:cs="宋体"/>
          <w:snapToGrid w:val="0"/>
          <w:color w:val="000000"/>
          <w:sz w:val="24"/>
          <w:szCs w:val="21"/>
        </w:rPr>
        <w:t>月底结算的方式为乙方结算</w:t>
      </w:r>
      <w:r>
        <w:rPr>
          <w:rFonts w:hint="eastAsia" w:ascii="宋体" w:hAnsi="宋体" w:cs="宋体"/>
          <w:snapToGrid w:val="0"/>
          <w:color w:val="000000"/>
          <w:sz w:val="24"/>
          <w:szCs w:val="21"/>
        </w:rPr>
        <w:t>。总维修金额不超过项目中标金额。乙方需提供合法的增值税普通发票。</w:t>
      </w:r>
    </w:p>
    <w:p w14:paraId="642AAA9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乙方开户银行名称、地址和账号：</w:t>
      </w:r>
    </w:p>
    <w:p w14:paraId="73763101">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开户银行：</w:t>
      </w:r>
    </w:p>
    <w:p w14:paraId="3BF7B852">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地址：</w:t>
      </w:r>
    </w:p>
    <w:p w14:paraId="040A212C">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账号：</w:t>
      </w:r>
    </w:p>
    <w:p w14:paraId="045CDEF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二、乙方义务和责任</w:t>
      </w:r>
    </w:p>
    <w:p w14:paraId="7B008A1F">
      <w:pPr>
        <w:widowControl/>
        <w:snapToGrid w:val="0"/>
        <w:spacing w:line="480" w:lineRule="auto"/>
        <w:ind w:firstLine="480" w:firstLineChars="200"/>
        <w:jc w:val="left"/>
        <w:rPr>
          <w:rFonts w:hint="eastAsia" w:ascii="宋体" w:hAnsi="宋体" w:cs="宋体"/>
          <w:snapToGrid w:val="0"/>
          <w:color w:val="000000"/>
          <w:sz w:val="24"/>
          <w:szCs w:val="21"/>
        </w:rPr>
      </w:pPr>
      <w:r>
        <w:rPr>
          <w:rFonts w:ascii="宋体" w:hAnsi="宋体" w:cs="宋体"/>
          <w:snapToGrid w:val="0"/>
          <w:color w:val="000000"/>
          <w:sz w:val="24"/>
          <w:szCs w:val="21"/>
        </w:rPr>
        <w:t>1、乙方负责医院零星</w:t>
      </w:r>
      <w:r>
        <w:rPr>
          <w:rFonts w:hint="eastAsia" w:ascii="宋体" w:hAnsi="宋体" w:cs="宋体"/>
          <w:snapToGrid w:val="0"/>
          <w:color w:val="000000"/>
          <w:sz w:val="24"/>
          <w:szCs w:val="21"/>
        </w:rPr>
        <w:t>维修</w:t>
      </w:r>
      <w:r>
        <w:rPr>
          <w:rFonts w:ascii="宋体" w:hAnsi="宋体" w:cs="宋体"/>
          <w:snapToGrid w:val="0"/>
          <w:color w:val="000000"/>
          <w:sz w:val="24"/>
          <w:szCs w:val="21"/>
        </w:rPr>
        <w:t>服务工作，</w:t>
      </w:r>
      <w:r>
        <w:rPr>
          <w:rFonts w:hint="eastAsia" w:ascii="宋体" w:hAnsi="宋体" w:cs="宋体"/>
          <w:snapToGrid w:val="0"/>
          <w:color w:val="000000"/>
          <w:sz w:val="24"/>
          <w:szCs w:val="21"/>
        </w:rPr>
        <w:t>由于医院属于特殊场所，为保证医院的正常医疗秩序，投标人在日常维修时间需服从招标人的安排。</w:t>
      </w:r>
    </w:p>
    <w:p w14:paraId="0D326137">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2</w:t>
      </w:r>
      <w:r>
        <w:rPr>
          <w:rFonts w:ascii="宋体" w:hAnsi="宋体" w:cs="宋体"/>
          <w:snapToGrid w:val="0"/>
          <w:color w:val="000000"/>
          <w:sz w:val="24"/>
          <w:szCs w:val="21"/>
        </w:rPr>
        <w:t>、乙方应严格按照医院规章制度来管理自己的员工，乙方维修工人在院内严禁从事违法乱纪活动，否则将以法律制裁乙方或个人，一切后果将由乙方单位及违犯者个人自行承担后果，与院方无关。</w:t>
      </w:r>
    </w:p>
    <w:p w14:paraId="2A93EBFF">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 xml:space="preserve"> 3</w:t>
      </w:r>
      <w:r>
        <w:rPr>
          <w:rFonts w:ascii="宋体" w:hAnsi="宋体" w:cs="宋体"/>
          <w:snapToGrid w:val="0"/>
          <w:color w:val="000000"/>
          <w:sz w:val="24"/>
          <w:szCs w:val="21"/>
        </w:rPr>
        <w:t>、乙方应严格按照国家安全法律制度，管理在本院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14:paraId="22A95C46">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w:t>
      </w:r>
      <w:r>
        <w:rPr>
          <w:rFonts w:hint="eastAsia" w:ascii="宋体" w:hAnsi="宋体" w:cs="宋体"/>
          <w:snapToGrid w:val="0"/>
          <w:color w:val="000000"/>
          <w:sz w:val="24"/>
          <w:szCs w:val="21"/>
        </w:rPr>
        <w:t>乙方应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p w14:paraId="78226FFD">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5</w:t>
      </w:r>
      <w:r>
        <w:rPr>
          <w:rFonts w:ascii="宋体" w:hAnsi="宋体" w:cs="宋体"/>
          <w:snapToGrid w:val="0"/>
          <w:color w:val="000000"/>
          <w:sz w:val="24"/>
          <w:szCs w:val="21"/>
        </w:rPr>
        <w:t xml:space="preserve">、 </w:t>
      </w:r>
      <w:r>
        <w:rPr>
          <w:rFonts w:hint="eastAsia" w:ascii="宋体" w:hAnsi="宋体" w:cs="宋体"/>
          <w:snapToGrid w:val="0"/>
          <w:color w:val="000000"/>
          <w:sz w:val="24"/>
          <w:szCs w:val="21"/>
        </w:rPr>
        <w:t>乙方维修</w:t>
      </w:r>
      <w:r>
        <w:rPr>
          <w:rFonts w:ascii="宋体" w:hAnsi="宋体" w:cs="宋体"/>
          <w:snapToGrid w:val="0"/>
          <w:color w:val="000000"/>
          <w:sz w:val="24"/>
          <w:szCs w:val="21"/>
        </w:rPr>
        <w:t>时应做到不擅自破坏建筑结构，不擅自拆改水、电、暖气、电信等各种其它配套设施。凡事要与院方主管部门多沟通，</w:t>
      </w:r>
      <w:r>
        <w:rPr>
          <w:rFonts w:hint="eastAsia" w:ascii="宋体" w:hAnsi="宋体" w:cs="宋体"/>
          <w:snapToGrid w:val="0"/>
          <w:color w:val="000000"/>
          <w:sz w:val="24"/>
          <w:szCs w:val="21"/>
        </w:rPr>
        <w:t>维修</w:t>
      </w:r>
      <w:r>
        <w:rPr>
          <w:rFonts w:ascii="宋体" w:hAnsi="宋体" w:cs="宋体"/>
          <w:snapToGrid w:val="0"/>
          <w:color w:val="000000"/>
          <w:sz w:val="24"/>
          <w:szCs w:val="21"/>
        </w:rPr>
        <w:t>方案在得到院方认可后才能</w:t>
      </w:r>
      <w:r>
        <w:rPr>
          <w:rFonts w:hint="eastAsia" w:ascii="宋体" w:hAnsi="宋体" w:cs="宋体"/>
          <w:snapToGrid w:val="0"/>
          <w:color w:val="000000"/>
          <w:sz w:val="24"/>
          <w:szCs w:val="21"/>
        </w:rPr>
        <w:t>实施</w:t>
      </w:r>
      <w:r>
        <w:rPr>
          <w:rFonts w:ascii="宋体" w:hAnsi="宋体" w:cs="宋体"/>
          <w:snapToGrid w:val="0"/>
          <w:color w:val="000000"/>
          <w:sz w:val="24"/>
          <w:szCs w:val="21"/>
        </w:rPr>
        <w:t>。</w:t>
      </w:r>
    </w:p>
    <w:p w14:paraId="29EC939F">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6</w:t>
      </w:r>
      <w:r>
        <w:rPr>
          <w:rFonts w:ascii="宋体" w:hAnsi="宋体" w:cs="宋体"/>
          <w:snapToGrid w:val="0"/>
          <w:color w:val="000000"/>
          <w:sz w:val="24"/>
          <w:szCs w:val="21"/>
        </w:rPr>
        <w:t>、乙方如果对医院内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负责人，因设施设备被损坏而且影响医院的正常生活造成的不良影响而带来损失的赔偿问题由医院</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负责人双方来协商解决。</w:t>
      </w:r>
    </w:p>
    <w:p w14:paraId="581C333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7、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ascii="宋体" w:hAnsi="宋体" w:cs="宋体"/>
          <w:snapToGrid w:val="0"/>
          <w:color w:val="000000"/>
          <w:sz w:val="24"/>
          <w:szCs w:val="21"/>
          <w:lang w:eastAsia="zh-CN"/>
        </w:rPr>
        <w:t>合同总金额的</w:t>
      </w:r>
      <w:r>
        <w:rPr>
          <w:rFonts w:hint="eastAsia" w:ascii="宋体" w:hAnsi="宋体" w:cs="宋体"/>
          <w:snapToGrid w:val="0"/>
          <w:color w:val="000000"/>
          <w:sz w:val="24"/>
          <w:szCs w:val="21"/>
          <w:lang w:val="en-US" w:eastAsia="zh-CN"/>
        </w:rPr>
        <w:t>3%</w:t>
      </w:r>
      <w:r>
        <w:rPr>
          <w:rFonts w:hint="eastAsia" w:ascii="宋体" w:hAnsi="宋体" w:cs="宋体"/>
          <w:snapToGrid w:val="0"/>
          <w:color w:val="000000"/>
          <w:sz w:val="24"/>
          <w:szCs w:val="21"/>
        </w:rPr>
        <w:t>），违约金不足以弥补甲方损失的，甲方有权要求向乙方追偿以弥补损失。</w:t>
      </w:r>
    </w:p>
    <w:p w14:paraId="4793064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8、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FDB267D">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9、甲方向乙方发出解除合同通知之日起3日内本合同解除。乙方应于本合同解除之日起3日自行退场，并于收到甲方赔偿通知之日起3日内向甲方支付违约金及各项损失赔偿金。</w:t>
      </w:r>
    </w:p>
    <w:p w14:paraId="3887A85D">
      <w:pPr>
        <w:widowControl/>
        <w:snapToGrid w:val="0"/>
        <w:spacing w:line="480" w:lineRule="auto"/>
        <w:ind w:firstLine="480"/>
        <w:jc w:val="left"/>
        <w:rPr>
          <w:rFonts w:hint="eastAsia" w:ascii="宋体" w:hAnsi="宋体" w:cs="宋体"/>
          <w:snapToGrid w:val="0"/>
          <w:color w:val="000000"/>
          <w:sz w:val="24"/>
          <w:szCs w:val="21"/>
        </w:rPr>
      </w:pPr>
    </w:p>
    <w:p w14:paraId="27D28B09">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此合同一式两份，甲、乙双方各执壹份存查，任何一方不得反悔，如有一方反悔，另一方可追究法律制裁和赔偿，</w:t>
      </w:r>
      <w:r>
        <w:rPr>
          <w:rFonts w:hint="eastAsia" w:ascii="宋体" w:hAnsi="宋体" w:cs="宋体"/>
          <w:snapToGrid w:val="0"/>
          <w:color w:val="000000"/>
          <w:sz w:val="24"/>
          <w:szCs w:val="21"/>
        </w:rPr>
        <w:t>此合同的变更必须由双方协商一致，并以书面形式确定，此合同</w:t>
      </w:r>
      <w:r>
        <w:rPr>
          <w:rFonts w:ascii="宋体" w:hAnsi="宋体" w:cs="宋体"/>
          <w:snapToGrid w:val="0"/>
          <w:color w:val="000000"/>
          <w:sz w:val="24"/>
          <w:szCs w:val="21"/>
        </w:rPr>
        <w:t>双方签字盖章后生效。</w:t>
      </w:r>
    </w:p>
    <w:p w14:paraId="3E23788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p>
    <w:p w14:paraId="704FF46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甲方（盖章）：</w:t>
      </w:r>
    </w:p>
    <w:p w14:paraId="05E16C1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 xml:space="preserve">            </w:t>
      </w:r>
    </w:p>
    <w:p w14:paraId="1954430E">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3BB19CC0">
      <w:pPr>
        <w:widowControl/>
        <w:snapToGrid w:val="0"/>
        <w:spacing w:line="480" w:lineRule="auto"/>
        <w:ind w:firstLine="480"/>
        <w:jc w:val="left"/>
        <w:rPr>
          <w:rFonts w:hint="eastAsia" w:ascii="宋体" w:hAnsi="宋体" w:cs="宋体"/>
          <w:snapToGrid w:val="0"/>
          <w:color w:val="000000"/>
          <w:sz w:val="24"/>
          <w:szCs w:val="21"/>
        </w:rPr>
      </w:pPr>
    </w:p>
    <w:p w14:paraId="097AEA6C">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乙方（盖章）：</w:t>
      </w:r>
    </w:p>
    <w:p w14:paraId="1C49D535">
      <w:pPr>
        <w:widowControl/>
        <w:snapToGrid w:val="0"/>
        <w:spacing w:line="480" w:lineRule="auto"/>
        <w:ind w:firstLine="480"/>
        <w:jc w:val="left"/>
        <w:rPr>
          <w:rFonts w:hint="eastAsia" w:ascii="宋体" w:hAnsi="宋体" w:cs="宋体"/>
          <w:snapToGrid w:val="0"/>
          <w:color w:val="000000"/>
          <w:sz w:val="24"/>
          <w:szCs w:val="21"/>
        </w:rPr>
      </w:pPr>
    </w:p>
    <w:p w14:paraId="4E9E0DB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21A1EB03">
      <w:pPr>
        <w:widowControl/>
        <w:snapToGrid w:val="0"/>
        <w:spacing w:line="480" w:lineRule="auto"/>
        <w:ind w:firstLine="480"/>
        <w:jc w:val="left"/>
        <w:rPr>
          <w:rFonts w:hint="eastAsia" w:ascii="宋体" w:hAnsi="宋体" w:cs="宋体"/>
          <w:snapToGrid w:val="0"/>
          <w:color w:val="000000"/>
          <w:sz w:val="24"/>
          <w:szCs w:val="21"/>
        </w:rPr>
      </w:pPr>
    </w:p>
    <w:p w14:paraId="385FAC6A">
      <w:pPr>
        <w:widowControl/>
        <w:snapToGrid w:val="0"/>
        <w:spacing w:line="480" w:lineRule="auto"/>
        <w:ind w:firstLine="480"/>
        <w:jc w:val="left"/>
      </w:pPr>
      <w:r>
        <w:rPr>
          <w:rFonts w:hint="eastAsia" w:ascii="宋体" w:hAnsi="宋体" w:cs="宋体"/>
          <w:snapToGrid w:val="0"/>
          <w:color w:val="000000"/>
          <w:sz w:val="24"/>
          <w:szCs w:val="21"/>
        </w:rPr>
        <w:t>签订日期：</w:t>
      </w:r>
      <w:r>
        <w:rPr>
          <w:rFonts w:ascii="宋体" w:hAnsi="宋体" w:cs="宋体"/>
          <w:snapToGrid w:val="0"/>
          <w:color w:val="000000"/>
          <w:sz w:val="24"/>
          <w:szCs w:val="21"/>
        </w:rPr>
        <w:t>       年   月   日</w:t>
      </w:r>
    </w:p>
    <w:p w14:paraId="0FF67C1B">
      <w:pPr>
        <w:spacing w:before="240" w:line="400" w:lineRule="atLeast"/>
        <w:jc w:val="center"/>
        <w:rPr>
          <w:rFonts w:hint="eastAsia" w:ascii="宋体" w:hAnsi="宋体"/>
          <w:b/>
          <w:sz w:val="36"/>
        </w:rPr>
      </w:pPr>
    </w:p>
    <w:p w14:paraId="70E70635">
      <w:pPr>
        <w:spacing w:before="240" w:line="400" w:lineRule="atLeast"/>
        <w:jc w:val="center"/>
        <w:rPr>
          <w:rFonts w:hint="eastAsia" w:ascii="宋体" w:hAnsi="宋体"/>
          <w:b/>
          <w:sz w:val="36"/>
        </w:rPr>
      </w:pPr>
    </w:p>
    <w:p w14:paraId="53DE95CE">
      <w:pPr>
        <w:spacing w:before="240" w:line="400" w:lineRule="atLeast"/>
        <w:jc w:val="center"/>
        <w:rPr>
          <w:rFonts w:hint="eastAsia" w:ascii="宋体" w:hAnsi="宋体"/>
          <w:b/>
          <w:sz w:val="36"/>
        </w:rPr>
      </w:pPr>
    </w:p>
    <w:p w14:paraId="288C954E">
      <w:pPr>
        <w:spacing w:before="240" w:line="400" w:lineRule="atLeast"/>
        <w:jc w:val="center"/>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jc w:val="center"/>
              <w:rPr>
                <w:sz w:val="24"/>
              </w:rPr>
            </w:pPr>
            <w:r>
              <w:rPr>
                <w:rFonts w:hint="eastAsia"/>
                <w:sz w:val="24"/>
              </w:rPr>
              <w:t>3个月</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07AD571F">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2022年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2023年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spacing w:line="240" w:lineRule="auto"/>
              <w:jc w:val="center"/>
              <w:rPr>
                <w:rFonts w:hint="eastAsia" w:ascii="宋体" w:hAnsi="宋体"/>
                <w:b/>
              </w:rPr>
            </w:pPr>
            <w:r>
              <w:rPr>
                <w:rFonts w:ascii="宋体" w:hAnsi="宋体"/>
                <w:b/>
              </w:rPr>
              <w:t>姓名</w:t>
            </w:r>
          </w:p>
        </w:tc>
        <w:tc>
          <w:tcPr>
            <w:tcW w:w="992" w:type="dxa"/>
            <w:vAlign w:val="center"/>
          </w:tcPr>
          <w:p w14:paraId="25DA4BD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int="eastAsia" w:hAnsi="宋体"/>
          <w:sz w:val="24"/>
          <w:szCs w:val="24"/>
        </w:rPr>
      </w:pPr>
    </w:p>
    <w:p w14:paraId="17B18C9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int="eastAsia" w:hAnsi="宋体"/>
          <w:sz w:val="24"/>
          <w:szCs w:val="24"/>
        </w:rPr>
      </w:pPr>
      <w:r>
        <w:rPr>
          <w:rFonts w:hint="eastAsia" w:hAnsi="宋体"/>
          <w:sz w:val="24"/>
          <w:szCs w:val="24"/>
        </w:rPr>
        <w:t>特此承诺。</w:t>
      </w:r>
    </w:p>
    <w:p w14:paraId="53ABB319">
      <w:pPr>
        <w:spacing w:line="400" w:lineRule="exact"/>
        <w:rPr>
          <w:rFonts w:hint="eastAsia" w:hAnsi="宋体"/>
          <w:sz w:val="24"/>
          <w:szCs w:val="24"/>
        </w:rPr>
      </w:pPr>
    </w:p>
    <w:p w14:paraId="69A52F22">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7409018">
      <w:pPr>
        <w:rPr>
          <w:rFonts w:hint="eastAsia" w:hAnsi="宋体"/>
          <w:sz w:val="24"/>
          <w:szCs w:val="24"/>
        </w:rPr>
      </w:pPr>
    </w:p>
    <w:p w14:paraId="0D334AE0">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int="eastAsia" w:hAnsi="宋体"/>
          <w:sz w:val="24"/>
          <w:szCs w:val="24"/>
        </w:rPr>
      </w:pPr>
    </w:p>
    <w:p w14:paraId="03D2A997">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5111A6D8">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服务于医院各科室提出的，超出综合维修科日常维修范围的各类零星维修项目，服务地点涵盖医院海淀院区、昌平院区，工作</w:t>
            </w:r>
            <w:r>
              <w:rPr>
                <w:rFonts w:hint="eastAsia" w:ascii="宋体" w:hAnsi="宋体" w:cs="宋体"/>
                <w:sz w:val="24"/>
                <w:lang w:eastAsia="zh-CN"/>
              </w:rPr>
              <w:t>范</w:t>
            </w:r>
            <w:r>
              <w:rPr>
                <w:rFonts w:hint="eastAsia" w:ascii="宋体" w:hAnsi="宋体" w:cs="宋体"/>
                <w:sz w:val="24"/>
              </w:rPr>
              <w:t>围包括医院海淀、昌平院区门窗五金动火、高空作业维修，根据医院精神专科</w:t>
            </w:r>
            <w:r>
              <w:rPr>
                <w:rFonts w:hint="eastAsia" w:ascii="宋体" w:hAnsi="宋体"/>
                <w:sz w:val="21"/>
                <w:szCs w:val="21"/>
              </w:rPr>
              <w:t>特色</w:t>
            </w:r>
            <w:r>
              <w:rPr>
                <w:rFonts w:hint="eastAsia" w:ascii="宋体" w:hAnsi="宋体" w:cs="宋体"/>
                <w:sz w:val="24"/>
              </w:rPr>
              <w:t>的特殊性，要求在保证安全，不影响医院日常工作的情况霞，配合医院后勤综合维修科完成相关专业的维修工作，并保证施工质量。</w:t>
            </w: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服务期为3个月</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180C7E73">
            <w:pPr>
              <w:pStyle w:val="26"/>
              <w:spacing w:line="240" w:lineRule="auto"/>
              <w:ind w:left="0" w:leftChars="0" w:firstLine="0" w:firstLineChars="0"/>
              <w:rPr>
                <w:rFonts w:hint="eastAsia" w:ascii="宋体" w:hAnsi="宋体"/>
                <w:sz w:val="21"/>
                <w:szCs w:val="21"/>
              </w:rPr>
            </w:pPr>
            <w:r>
              <w:rPr>
                <w:rFonts w:hint="eastAsia" w:ascii="宋体" w:hAnsi="宋体" w:cs="宋体"/>
                <w:sz w:val="24"/>
              </w:rPr>
              <w:t>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995" w:type="dxa"/>
          </w:tcPr>
          <w:p w14:paraId="36B52F8F">
            <w:pPr>
              <w:pStyle w:val="26"/>
              <w:spacing w:line="240" w:lineRule="auto"/>
              <w:ind w:left="0" w:leftChars="0" w:firstLine="0" w:firstLineChars="0"/>
              <w:rPr>
                <w:rFonts w:hint="eastAsia" w:ascii="宋体" w:hAnsi="宋体" w:cs="宋体"/>
              </w:rPr>
            </w:pPr>
            <w:r>
              <w:rPr>
                <w:rFonts w:hint="eastAsia" w:ascii="宋体" w:hAnsi="宋体" w:cs="宋体"/>
                <w:sz w:val="24"/>
              </w:rPr>
              <w:t>在科室提出维修需求时必须在24小时内响应，踏勘现场并提供方案报价。</w:t>
            </w: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995" w:type="dxa"/>
          </w:tcPr>
          <w:p w14:paraId="35E47702">
            <w:pPr>
              <w:pStyle w:val="26"/>
              <w:spacing w:line="240" w:lineRule="auto"/>
              <w:ind w:left="0" w:leftChars="0" w:firstLine="0" w:firstLineChars="0"/>
              <w:rPr>
                <w:rFonts w:hint="eastAsia" w:ascii="宋体" w:hAnsi="宋体" w:cs="宋体"/>
                <w:sz w:val="24"/>
              </w:rPr>
            </w:pPr>
            <w:r>
              <w:rPr>
                <w:rFonts w:hint="eastAsia" w:ascii="宋体" w:hAnsi="宋体" w:cs="宋体"/>
                <w:sz w:val="24"/>
              </w:rPr>
              <w:t>根据采购人确定后的维修方案快速有效的组织维修。</w:t>
            </w: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4E1D732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995" w:type="dxa"/>
          </w:tcPr>
          <w:p w14:paraId="1191F5E2">
            <w:pPr>
              <w:pStyle w:val="26"/>
              <w:spacing w:line="240" w:lineRule="auto"/>
              <w:ind w:left="0" w:leftChars="0" w:firstLine="0" w:firstLineChars="0"/>
              <w:rPr>
                <w:rFonts w:hint="eastAsia" w:ascii="宋体" w:hAnsi="宋体" w:cs="宋体"/>
                <w:sz w:val="24"/>
              </w:rPr>
            </w:pPr>
            <w:r>
              <w:rPr>
                <w:rFonts w:hint="eastAsia" w:ascii="宋体" w:hAnsi="宋体" w:cs="宋体"/>
                <w:sz w:val="24"/>
              </w:rPr>
              <w:t>为保证医院的正常医疗秩序，响应人在日常维修时间需服从招标人的安排。</w:t>
            </w: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995" w:type="dxa"/>
          </w:tcPr>
          <w:p w14:paraId="66D22AA9">
            <w:pPr>
              <w:pStyle w:val="26"/>
              <w:spacing w:line="240" w:lineRule="auto"/>
              <w:ind w:left="0" w:leftChars="0" w:firstLine="0" w:firstLineChars="0"/>
              <w:rPr>
                <w:rFonts w:hint="eastAsia" w:ascii="宋体" w:hAnsi="宋体" w:cs="宋体"/>
                <w:sz w:val="24"/>
              </w:rPr>
            </w:pPr>
            <w:r>
              <w:rPr>
                <w:rFonts w:hint="eastAsia" w:ascii="宋体" w:hAnsi="宋体" w:cs="宋体"/>
                <w:sz w:val="24"/>
              </w:rPr>
              <w:t>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2"/>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1A6C6BB">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5"/>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5"/>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5"/>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5"/>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5"/>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5"/>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5"/>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5"/>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5"/>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5"/>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5"/>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5"/>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5"/>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5"/>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5"/>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5"/>
        <w:ind w:firstLine="480"/>
        <w:rPr>
          <w:rFonts w:ascii="仿宋_GB2312" w:hAnsi="仿宋" w:eastAsia="仿宋_GB2312" w:cs="宋体"/>
          <w:sz w:val="24"/>
        </w:rPr>
      </w:pPr>
    </w:p>
    <w:p w14:paraId="174D3F93"/>
    <w:p w14:paraId="0110C7AE">
      <w:pPr>
        <w:pStyle w:val="45"/>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5"/>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商务部分（16分）</w:t>
            </w:r>
          </w:p>
        </w:tc>
        <w:tc>
          <w:tcPr>
            <w:tcW w:w="1442" w:type="dxa"/>
            <w:vAlign w:val="center"/>
          </w:tcPr>
          <w:p w14:paraId="4B159ECF">
            <w:pPr>
              <w:rPr>
                <w:rFonts w:hint="eastAsia" w:ascii="宋体" w:hAnsi="宋体"/>
                <w:szCs w:val="21"/>
              </w:rPr>
            </w:pPr>
            <w:r>
              <w:rPr>
                <w:rFonts w:hint="eastAsia" w:ascii="宋体" w:hAnsi="宋体"/>
                <w:szCs w:val="21"/>
              </w:rPr>
              <w:t>证书</w:t>
            </w:r>
          </w:p>
        </w:tc>
        <w:tc>
          <w:tcPr>
            <w:tcW w:w="5014" w:type="dxa"/>
            <w:vAlign w:val="center"/>
          </w:tcPr>
          <w:p w14:paraId="17B39C7C">
            <w:pPr>
              <w:jc w:val="left"/>
              <w:rPr>
                <w:sz w:val="24"/>
                <w:szCs w:val="22"/>
              </w:rPr>
            </w:pPr>
            <w:r>
              <w:rPr>
                <w:rFonts w:hint="eastAsia"/>
                <w:sz w:val="24"/>
                <w:szCs w:val="22"/>
                <w:lang w:eastAsia="zh-CN"/>
              </w:rPr>
              <w:t>响应</w:t>
            </w:r>
            <w:r>
              <w:rPr>
                <w:rFonts w:hint="eastAsia"/>
                <w:sz w:val="24"/>
                <w:szCs w:val="22"/>
              </w:rPr>
              <w:t>人具有国家认可的有效的质量管理体系认证证书、环境管理体系认证证书、职业安全健康管理体系认证证书，每提供一个证书得2分，最高得6分。</w:t>
            </w:r>
          </w:p>
          <w:p w14:paraId="4AC73D58">
            <w:pPr>
              <w:rPr>
                <w:rFonts w:hint="eastAsia" w:ascii="宋体" w:hAnsi="宋体"/>
                <w:szCs w:val="21"/>
              </w:rPr>
            </w:pPr>
            <w:r>
              <w:rPr>
                <w:rFonts w:hint="eastAsia" w:ascii="宋体" w:hAnsi="宋体" w:cs="宋体"/>
                <w:bCs/>
                <w:sz w:val="24"/>
                <w:szCs w:val="24"/>
              </w:rPr>
              <w:t>注：提供证书扫描件，同时提供中国合格评定国家认可委员会认可官网的证书查询结果（查询地址www.cnas.org.cn/index.shtml）网页截图，加盖公章，否则不予认可。</w:t>
            </w:r>
          </w:p>
        </w:tc>
        <w:tc>
          <w:tcPr>
            <w:tcW w:w="765" w:type="dxa"/>
            <w:vAlign w:val="center"/>
          </w:tcPr>
          <w:p w14:paraId="12004F32">
            <w:pPr>
              <w:rPr>
                <w:rFonts w:hint="eastAsia" w:ascii="宋体" w:hAnsi="宋体"/>
                <w:szCs w:val="21"/>
              </w:rPr>
            </w:pPr>
            <w:r>
              <w:rPr>
                <w:rFonts w:hint="eastAsia" w:ascii="宋体" w:hAnsi="宋体"/>
                <w:szCs w:val="21"/>
              </w:rPr>
              <w:t>6</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3008CC05">
            <w:pPr>
              <w:rPr>
                <w:rFonts w:hint="eastAsia" w:ascii="宋体" w:hAnsi="宋体"/>
                <w:szCs w:val="21"/>
              </w:rPr>
            </w:pPr>
          </w:p>
        </w:tc>
        <w:tc>
          <w:tcPr>
            <w:tcW w:w="1442" w:type="dxa"/>
            <w:vAlign w:val="center"/>
          </w:tcPr>
          <w:p w14:paraId="6F6802DF">
            <w:pPr>
              <w:rPr>
                <w:rFonts w:hint="eastAsia" w:ascii="宋体" w:hAnsi="宋体"/>
                <w:szCs w:val="21"/>
              </w:rPr>
            </w:pPr>
            <w:r>
              <w:rPr>
                <w:rFonts w:hint="eastAsia" w:ascii="宋体" w:hAnsi="宋体"/>
                <w:szCs w:val="21"/>
              </w:rPr>
              <w:t>业绩</w:t>
            </w:r>
          </w:p>
        </w:tc>
        <w:tc>
          <w:tcPr>
            <w:tcW w:w="5014" w:type="dxa"/>
            <w:vAlign w:val="center"/>
          </w:tcPr>
          <w:p w14:paraId="4A9382D4">
            <w:pPr>
              <w:widowControl/>
              <w:spacing w:before="48" w:beforeLines="20"/>
              <w:jc w:val="left"/>
              <w:rPr>
                <w:rFonts w:hint="eastAsia" w:ascii="宋体" w:hAnsi="宋体" w:cs="宋体"/>
                <w:sz w:val="24"/>
                <w:szCs w:val="24"/>
              </w:rPr>
            </w:pPr>
            <w:r>
              <w:rPr>
                <w:rFonts w:hint="eastAsia" w:ascii="宋体" w:hAnsi="宋体" w:cs="宋体"/>
                <w:sz w:val="24"/>
                <w:szCs w:val="24"/>
              </w:rPr>
              <w:t>近三年(2022年1月1日至开标截止时间，时间以验收证明时间为准)已验收的类似工程修缮项目业绩情况进行评价，每提供一项业绩得2分，本项最高为10分。</w:t>
            </w:r>
          </w:p>
          <w:p w14:paraId="1991FBFD">
            <w:pPr>
              <w:rPr>
                <w:rFonts w:hint="eastAsia" w:ascii="宋体" w:hAnsi="宋体"/>
                <w:szCs w:val="21"/>
              </w:rPr>
            </w:pPr>
            <w:r>
              <w:rPr>
                <w:rFonts w:hint="eastAsia" w:ascii="宋体" w:hAnsi="宋体" w:cs="宋体"/>
                <w:b/>
                <w:sz w:val="24"/>
                <w:szCs w:val="24"/>
              </w:rPr>
              <w:t>注：</w:t>
            </w:r>
            <w:r>
              <w:rPr>
                <w:rFonts w:hint="eastAsia" w:ascii="宋体" w:hAnsi="宋体" w:cs="宋体"/>
                <w:sz w:val="24"/>
                <w:szCs w:val="24"/>
              </w:rPr>
              <w:t>业绩以所投项目合同复印件为准，合同复印件须提供（包括合同首页、内容页、签字盖章页）。证明文件不清晰或未显示相关评审内容导致评标委员会无法判断合格性的，评标委员会不予认可</w:t>
            </w:r>
          </w:p>
        </w:tc>
        <w:tc>
          <w:tcPr>
            <w:tcW w:w="765" w:type="dxa"/>
            <w:vAlign w:val="center"/>
          </w:tcPr>
          <w:p w14:paraId="787AFB8C">
            <w:pPr>
              <w:rPr>
                <w:rFonts w:hint="eastAsia" w:ascii="宋体" w:hAnsi="宋体"/>
                <w:szCs w:val="21"/>
              </w:rPr>
            </w:pPr>
            <w:r>
              <w:rPr>
                <w:rFonts w:hint="eastAsia" w:ascii="宋体" w:hAnsi="宋体"/>
                <w:szCs w:val="21"/>
              </w:rPr>
              <w:t>10</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技术部分（64分）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 xml:space="preserve">完全满足得14分，每有一项条款负偏离扣减2分，本项最低得0分。  </w:t>
            </w:r>
            <w:r>
              <w:rPr>
                <w:rFonts w:hint="eastAsia" w:ascii="宋体" w:hAnsi="宋体"/>
              </w:rPr>
              <w:t xml:space="preserve"> </w:t>
            </w:r>
          </w:p>
        </w:tc>
        <w:tc>
          <w:tcPr>
            <w:tcW w:w="765" w:type="dxa"/>
            <w:vAlign w:val="center"/>
          </w:tcPr>
          <w:p w14:paraId="59DD1CAA">
            <w:pPr>
              <w:rPr>
                <w:rFonts w:hint="eastAsia" w:ascii="宋体" w:hAnsi="宋体"/>
                <w:szCs w:val="21"/>
              </w:rPr>
            </w:pPr>
            <w:r>
              <w:rPr>
                <w:rFonts w:hint="eastAsia" w:ascii="宋体" w:hAnsi="宋体"/>
                <w:szCs w:val="21"/>
              </w:rPr>
              <w:t>14</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shd w:val="clear" w:color="auto" w:fill="auto"/>
            <w:vAlign w:val="center"/>
          </w:tcPr>
          <w:p w14:paraId="752774C2">
            <w:pPr>
              <w:rPr>
                <w:rFonts w:hint="eastAsia" w:ascii="宋体" w:hAnsi="宋体"/>
                <w:szCs w:val="21"/>
              </w:rPr>
            </w:pPr>
          </w:p>
        </w:tc>
        <w:tc>
          <w:tcPr>
            <w:tcW w:w="1442" w:type="dxa"/>
            <w:shd w:val="clear" w:color="auto" w:fill="auto"/>
            <w:vAlign w:val="center"/>
          </w:tcPr>
          <w:p w14:paraId="1BD9F46B">
            <w:pPr>
              <w:rPr>
                <w:rFonts w:hint="eastAsia" w:ascii="宋体" w:hAnsi="宋体"/>
                <w:szCs w:val="21"/>
              </w:rPr>
            </w:pPr>
            <w:r>
              <w:rPr>
                <w:rFonts w:hint="eastAsia" w:ascii="宋体" w:hAnsi="宋体"/>
                <w:szCs w:val="21"/>
              </w:rPr>
              <w:t>现场负责人</w:t>
            </w:r>
          </w:p>
        </w:tc>
        <w:tc>
          <w:tcPr>
            <w:tcW w:w="5014" w:type="dxa"/>
            <w:vAlign w:val="center"/>
          </w:tcPr>
          <w:p w14:paraId="5A36164C">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现场负责人具有中级及以上职称的得5分</w:t>
            </w:r>
            <w:r>
              <w:rPr>
                <w:rFonts w:hint="eastAsia" w:ascii="宋体" w:hAnsi="宋体" w:cs="宋体"/>
                <w:b w:val="0"/>
                <w:kern w:val="2"/>
                <w:sz w:val="24"/>
                <w:szCs w:val="24"/>
                <w:lang w:eastAsia="zh-CN"/>
              </w:rPr>
              <w:t>；</w:t>
            </w:r>
            <w:r>
              <w:rPr>
                <w:rFonts w:hint="eastAsia" w:ascii="宋体" w:hAnsi="宋体" w:cs="宋体"/>
                <w:b w:val="0"/>
                <w:kern w:val="2"/>
                <w:sz w:val="24"/>
                <w:szCs w:val="24"/>
              </w:rPr>
              <w:t>从事机电、建筑行业工作10年</w:t>
            </w:r>
            <w:r>
              <w:rPr>
                <w:rFonts w:hint="eastAsia" w:ascii="宋体" w:hAnsi="宋体" w:cs="宋体"/>
                <w:b w:val="0"/>
                <w:kern w:val="2"/>
                <w:sz w:val="24"/>
                <w:szCs w:val="24"/>
                <w:lang w:eastAsia="zh-CN"/>
              </w:rPr>
              <w:t>（含）</w:t>
            </w:r>
            <w:r>
              <w:rPr>
                <w:rFonts w:hint="eastAsia" w:ascii="宋体" w:hAnsi="宋体" w:cs="宋体"/>
                <w:b w:val="0"/>
                <w:kern w:val="2"/>
                <w:sz w:val="24"/>
                <w:szCs w:val="24"/>
              </w:rPr>
              <w:t>以上的得5分。否则不得分。</w:t>
            </w:r>
          </w:p>
          <w:p w14:paraId="7CB6C5F5">
            <w:pPr>
              <w:rPr>
                <w:rFonts w:hint="eastAsia" w:ascii="宋体" w:hAnsi="宋体"/>
                <w:szCs w:val="21"/>
              </w:rPr>
            </w:pPr>
            <w:r>
              <w:rPr>
                <w:rFonts w:hint="eastAsia" w:ascii="宋体" w:hAnsi="宋体" w:cs="宋体"/>
                <w:sz w:val="24"/>
                <w:szCs w:val="24"/>
              </w:rPr>
              <w:t>注：提供现场负责人职称证书扫描件加盖公章、人员简历及为其缴纳的近3个月社保证明，否则本项不得分。</w:t>
            </w:r>
          </w:p>
        </w:tc>
        <w:tc>
          <w:tcPr>
            <w:tcW w:w="765" w:type="dxa"/>
            <w:vAlign w:val="center"/>
          </w:tcPr>
          <w:p w14:paraId="4C48E0C3">
            <w:pPr>
              <w:rPr>
                <w:rFonts w:hint="eastAsia" w:ascii="宋体" w:hAnsi="宋体"/>
                <w:szCs w:val="21"/>
              </w:rPr>
            </w:pPr>
            <w:r>
              <w:rPr>
                <w:rFonts w:hint="eastAsia" w:ascii="宋体" w:hAnsi="宋体"/>
                <w:szCs w:val="21"/>
              </w:rPr>
              <w:t>10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shd w:val="clear" w:color="auto" w:fill="auto"/>
            <w:vAlign w:val="center"/>
          </w:tcPr>
          <w:p w14:paraId="4A16B26D">
            <w:pPr>
              <w:rPr>
                <w:rFonts w:hint="eastAsia" w:ascii="宋体" w:hAnsi="宋体"/>
                <w:szCs w:val="21"/>
              </w:rPr>
            </w:pPr>
          </w:p>
        </w:tc>
        <w:tc>
          <w:tcPr>
            <w:tcW w:w="1442" w:type="dxa"/>
            <w:shd w:val="clear" w:color="auto" w:fill="auto"/>
            <w:vAlign w:val="center"/>
          </w:tcPr>
          <w:p w14:paraId="0351B2CF">
            <w:pPr>
              <w:rPr>
                <w:rFonts w:hint="eastAsia" w:ascii="宋体" w:hAnsi="宋体"/>
                <w:szCs w:val="21"/>
              </w:rPr>
            </w:pPr>
            <w:r>
              <w:rPr>
                <w:rFonts w:hint="eastAsia" w:ascii="宋体" w:hAnsi="宋体" w:cs="宋体"/>
                <w:sz w:val="24"/>
                <w:szCs w:val="24"/>
              </w:rPr>
              <w:t>拟派项目专业人员构成</w:t>
            </w:r>
          </w:p>
        </w:tc>
        <w:tc>
          <w:tcPr>
            <w:tcW w:w="5014" w:type="dxa"/>
            <w:vAlign w:val="center"/>
          </w:tcPr>
          <w:p w14:paraId="50126310">
            <w:pPr>
              <w:widowControl/>
              <w:jc w:val="left"/>
              <w:rPr>
                <w:rFonts w:hint="eastAsia" w:ascii="宋体" w:hAnsi="宋体" w:cs="宋体"/>
                <w:sz w:val="24"/>
                <w:szCs w:val="24"/>
              </w:rPr>
            </w:pPr>
            <w:r>
              <w:rPr>
                <w:rFonts w:hint="eastAsia" w:ascii="宋体" w:hAnsi="宋体" w:cs="宋体"/>
                <w:sz w:val="24"/>
                <w:szCs w:val="24"/>
              </w:rPr>
              <w:t>响应人拟派项目专业维修人员岗位配备齐全、人员充足，包括但不限于技术人员、预算人员（土建）、现场维修人员（木工和焊工等）；</w:t>
            </w:r>
          </w:p>
          <w:p w14:paraId="6C6F38AC">
            <w:pPr>
              <w:widowControl/>
              <w:jc w:val="left"/>
              <w:rPr>
                <w:rFonts w:hint="eastAsia" w:ascii="宋体" w:hAnsi="宋体" w:cs="宋体"/>
                <w:sz w:val="24"/>
                <w:szCs w:val="24"/>
              </w:rPr>
            </w:pPr>
            <w:r>
              <w:rPr>
                <w:rFonts w:hint="eastAsia" w:ascii="宋体" w:hAnsi="宋体" w:cs="宋体"/>
                <w:sz w:val="24"/>
                <w:szCs w:val="24"/>
              </w:rPr>
              <w:t>配备合理、完全满足采购需求得5分；不满足得0分。</w:t>
            </w:r>
          </w:p>
          <w:p w14:paraId="45F4113C">
            <w:pPr>
              <w:rPr>
                <w:rFonts w:hint="eastAsia" w:ascii="宋体" w:hAnsi="宋体"/>
                <w:szCs w:val="21"/>
                <w:highlight w:val="yellow"/>
              </w:rPr>
            </w:pPr>
            <w:r>
              <w:rPr>
                <w:rFonts w:hint="eastAsia" w:ascii="宋体" w:hAnsi="宋体" w:cs="宋体"/>
                <w:sz w:val="24"/>
                <w:szCs w:val="24"/>
              </w:rPr>
              <w:t>注：提供人员配备清单加盖公章，否则本项不得分。</w:t>
            </w:r>
          </w:p>
        </w:tc>
        <w:tc>
          <w:tcPr>
            <w:tcW w:w="765" w:type="dxa"/>
            <w:vAlign w:val="center"/>
          </w:tcPr>
          <w:p w14:paraId="1FF7F413">
            <w:pPr>
              <w:rPr>
                <w:rFonts w:hint="eastAsia" w:ascii="宋体" w:hAnsi="宋体"/>
                <w:szCs w:val="21"/>
              </w:rPr>
            </w:pPr>
            <w:r>
              <w:rPr>
                <w:rFonts w:hint="eastAsia" w:ascii="宋体" w:hAnsi="宋体"/>
                <w:szCs w:val="21"/>
              </w:rPr>
              <w:t>5</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4836ADEB">
            <w:pPr>
              <w:rPr>
                <w:rFonts w:hint="eastAsia" w:ascii="宋体" w:hAnsi="宋体"/>
                <w:szCs w:val="21"/>
              </w:rPr>
            </w:pPr>
            <w:r>
              <w:rPr>
                <w:rFonts w:hint="eastAsia" w:ascii="宋体" w:hAnsi="宋体" w:cs="宋体"/>
                <w:kern w:val="2"/>
                <w:sz w:val="24"/>
                <w:szCs w:val="24"/>
              </w:rPr>
              <w:t>施工实施方案、响应采购人需求时间、保障措施</w:t>
            </w:r>
          </w:p>
        </w:tc>
        <w:tc>
          <w:tcPr>
            <w:tcW w:w="5014" w:type="dxa"/>
            <w:vAlign w:val="center"/>
          </w:tcPr>
          <w:p w14:paraId="5A2F2C51">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响应人针对医院零星维修特点，对以下内容应答情况进行评价：（1）提供维修实施方案、（2）响应采购人需求时间、（3）保障措施；每项最高得4分，3项共12分</w:t>
            </w:r>
          </w:p>
          <w:p w14:paraId="5EC40A0C">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1、应答有</w:t>
            </w:r>
            <w:r>
              <w:rPr>
                <w:rFonts w:ascii="宋体" w:hAnsi="宋体" w:cs="宋体"/>
                <w:spacing w:val="1"/>
                <w:sz w:val="24"/>
                <w:szCs w:val="24"/>
              </w:rPr>
              <w:t>针对性、</w:t>
            </w:r>
            <w:r>
              <w:rPr>
                <w:rFonts w:hint="eastAsia" w:ascii="宋体" w:hAnsi="宋体" w:cs="宋体"/>
                <w:spacing w:val="1"/>
                <w:sz w:val="24"/>
                <w:szCs w:val="24"/>
              </w:rPr>
              <w:t>措施合理、阐述详细，</w:t>
            </w:r>
            <w:r>
              <w:rPr>
                <w:rFonts w:hint="eastAsia" w:ascii="宋体" w:hAnsi="宋体" w:cs="宋体"/>
                <w:sz w:val="24"/>
                <w:szCs w:val="24"/>
              </w:rPr>
              <w:t>响应采购人需求时间，</w:t>
            </w:r>
            <w:r>
              <w:rPr>
                <w:rFonts w:hint="eastAsia" w:ascii="宋体" w:hAnsi="宋体" w:cs="宋体"/>
                <w:spacing w:val="1"/>
                <w:sz w:val="24"/>
                <w:szCs w:val="24"/>
              </w:rPr>
              <w:t>满足采购要求，得4分；</w:t>
            </w:r>
          </w:p>
          <w:p w14:paraId="21C25A68">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2、应答内容仅做概况性阐述得2分；</w:t>
            </w:r>
          </w:p>
          <w:p w14:paraId="05B2BA2E">
            <w:pPr>
              <w:rPr>
                <w:rFonts w:hint="eastAsia" w:ascii="宋体" w:hAnsi="宋体"/>
                <w:color w:val="000000"/>
                <w:szCs w:val="21"/>
              </w:rPr>
            </w:pPr>
            <w:r>
              <w:rPr>
                <w:rFonts w:hint="eastAsia" w:ascii="宋体" w:hAnsi="宋体" w:cs="宋体"/>
                <w:spacing w:val="1"/>
                <w:sz w:val="24"/>
                <w:szCs w:val="24"/>
              </w:rPr>
              <w:t>3</w:t>
            </w:r>
            <w:r>
              <w:rPr>
                <w:rFonts w:hint="eastAsia" w:ascii="宋体" w:hAnsi="宋体" w:cs="宋体"/>
                <w:bCs/>
                <w:spacing w:val="1"/>
                <w:sz w:val="24"/>
                <w:szCs w:val="24"/>
              </w:rPr>
              <w:t>、未阐述或</w:t>
            </w:r>
            <w:r>
              <w:rPr>
                <w:rFonts w:hint="eastAsia" w:ascii="宋体" w:hAnsi="宋体" w:cs="宋体"/>
                <w:spacing w:val="1"/>
                <w:sz w:val="24"/>
                <w:szCs w:val="24"/>
              </w:rPr>
              <w:t>响应时间超出采购要求</w:t>
            </w:r>
            <w:r>
              <w:rPr>
                <w:rFonts w:hint="eastAsia" w:ascii="宋体" w:hAnsi="宋体" w:cs="宋体"/>
                <w:bCs/>
                <w:spacing w:val="1"/>
                <w:sz w:val="24"/>
                <w:szCs w:val="24"/>
              </w:rPr>
              <w:t>得0分。</w:t>
            </w:r>
          </w:p>
        </w:tc>
        <w:tc>
          <w:tcPr>
            <w:tcW w:w="765" w:type="dxa"/>
            <w:vAlign w:val="center"/>
          </w:tcPr>
          <w:p w14:paraId="1D1AE877">
            <w:pPr>
              <w:rPr>
                <w:rFonts w:hint="eastAsia" w:ascii="宋体" w:hAnsi="宋体"/>
                <w:szCs w:val="21"/>
              </w:rPr>
            </w:pPr>
            <w:r>
              <w:rPr>
                <w:rFonts w:hint="eastAsia" w:ascii="宋体" w:hAnsi="宋体"/>
                <w:szCs w:val="21"/>
              </w:rPr>
              <w:t>12</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Cs w:val="21"/>
              </w:rPr>
            </w:pPr>
            <w:r>
              <w:rPr>
                <w:rFonts w:hint="eastAsia" w:ascii="宋体" w:hAnsi="宋体" w:cs="宋体"/>
                <w:bCs/>
                <w:sz w:val="24"/>
                <w:szCs w:val="24"/>
              </w:rPr>
              <w:t>安全文明施工承诺和绿色施工保障措施</w:t>
            </w:r>
          </w:p>
        </w:tc>
        <w:tc>
          <w:tcPr>
            <w:tcW w:w="5014" w:type="dxa"/>
            <w:vAlign w:val="center"/>
          </w:tcPr>
          <w:p w14:paraId="1C0D05AD">
            <w:pPr>
              <w:jc w:val="left"/>
              <w:rPr>
                <w:rStyle w:val="61"/>
                <w:rFonts w:hint="eastAsia" w:ascii="宋体" w:hAnsi="宋体"/>
                <w:szCs w:val="21"/>
              </w:rPr>
            </w:pPr>
            <w:r>
              <w:rPr>
                <w:rFonts w:hint="eastAsia" w:ascii="宋体" w:hAnsi="宋体" w:cs="宋体"/>
                <w:sz w:val="24"/>
                <w:szCs w:val="24"/>
              </w:rPr>
              <w:t>响应人针对医院项目特点提供安全生产文明作业和绿色施工保障措施承诺，每项阐述详细完整得4分，2项共8分，未阐述得0分。</w:t>
            </w:r>
          </w:p>
        </w:tc>
        <w:tc>
          <w:tcPr>
            <w:tcW w:w="765" w:type="dxa"/>
            <w:vAlign w:val="center"/>
          </w:tcPr>
          <w:p w14:paraId="4C3AFF75">
            <w:pPr>
              <w:rPr>
                <w:rFonts w:hint="eastAsia" w:ascii="宋体" w:hAnsi="宋体"/>
                <w:szCs w:val="21"/>
              </w:rPr>
            </w:pPr>
            <w:r>
              <w:rPr>
                <w:rFonts w:hint="eastAsia" w:ascii="宋体" w:hAnsi="宋体"/>
                <w:szCs w:val="21"/>
              </w:rPr>
              <w:t>8</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2C4CD20E">
            <w:pPr>
              <w:rPr>
                <w:rFonts w:hint="eastAsia" w:ascii="宋体" w:hAnsi="宋体"/>
                <w:szCs w:val="21"/>
              </w:rPr>
            </w:pPr>
          </w:p>
        </w:tc>
        <w:tc>
          <w:tcPr>
            <w:tcW w:w="1442" w:type="dxa"/>
            <w:vAlign w:val="center"/>
          </w:tcPr>
          <w:p w14:paraId="32C30E4F">
            <w:pPr>
              <w:jc w:val="center"/>
              <w:rPr>
                <w:rFonts w:hint="eastAsia" w:ascii="宋体" w:hAnsi="宋体" w:cs="宋体"/>
                <w:sz w:val="24"/>
                <w:szCs w:val="24"/>
              </w:rPr>
            </w:pPr>
            <w:r>
              <w:rPr>
                <w:rFonts w:hint="eastAsia" w:ascii="宋体" w:hAnsi="宋体" w:cs="宋体"/>
                <w:sz w:val="24"/>
                <w:szCs w:val="24"/>
              </w:rPr>
              <w:t>服务能力</w:t>
            </w:r>
          </w:p>
          <w:p w14:paraId="3162D3DC">
            <w:pPr>
              <w:rPr>
                <w:rFonts w:hint="eastAsia" w:ascii="宋体" w:hAnsi="宋体"/>
                <w:szCs w:val="21"/>
              </w:rPr>
            </w:pPr>
          </w:p>
        </w:tc>
        <w:tc>
          <w:tcPr>
            <w:tcW w:w="5014" w:type="dxa"/>
            <w:vAlign w:val="center"/>
          </w:tcPr>
          <w:p w14:paraId="69DE0303">
            <w:pPr>
              <w:jc w:val="left"/>
              <w:rPr>
                <w:rFonts w:hint="eastAsia" w:ascii="宋体" w:hAnsi="宋体" w:cs="宋体"/>
                <w:sz w:val="24"/>
                <w:szCs w:val="24"/>
              </w:rPr>
            </w:pPr>
            <w:r>
              <w:rPr>
                <w:rFonts w:hint="eastAsia" w:ascii="宋体" w:hAnsi="宋体" w:cs="宋体"/>
                <w:sz w:val="24"/>
                <w:szCs w:val="24"/>
              </w:rPr>
              <w:t>响应人对维修项目团队效率及能力(CAD及广联达等专业软件使用)等进行</w:t>
            </w:r>
            <w:r>
              <w:rPr>
                <w:rFonts w:hint="eastAsia" w:ascii="宋体" w:hAnsi="宋体" w:cs="宋体"/>
                <w:sz w:val="24"/>
                <w:szCs w:val="24"/>
                <w:lang w:eastAsia="zh-CN"/>
              </w:rPr>
              <w:t>说明</w:t>
            </w:r>
            <w:r>
              <w:rPr>
                <w:rFonts w:hint="eastAsia" w:ascii="宋体" w:hAnsi="宋体" w:cs="宋体"/>
                <w:sz w:val="24"/>
                <w:szCs w:val="24"/>
              </w:rPr>
              <w:t>：（1）提供团队对专业软件定期培训考核内容、(2)提供项目团队跨部门协作联系图、（3）提供公司质量与预算控制制度</w:t>
            </w:r>
          </w:p>
          <w:p w14:paraId="05267B29">
            <w:pPr>
              <w:jc w:val="left"/>
              <w:rPr>
                <w:rFonts w:hint="eastAsia" w:ascii="宋体" w:hAnsi="宋体" w:cs="宋体"/>
                <w:sz w:val="24"/>
                <w:szCs w:val="24"/>
              </w:rPr>
            </w:pPr>
            <w:r>
              <w:rPr>
                <w:rFonts w:hint="eastAsia" w:ascii="宋体" w:hAnsi="宋体" w:cs="宋体"/>
                <w:sz w:val="24"/>
                <w:szCs w:val="24"/>
              </w:rPr>
              <w:t>1、内容完善、可行，阐述详细，完全满足采购需求得3分；</w:t>
            </w:r>
          </w:p>
          <w:p w14:paraId="304F98AE">
            <w:pPr>
              <w:jc w:val="left"/>
              <w:rPr>
                <w:rFonts w:hint="eastAsia" w:ascii="宋体" w:hAnsi="宋体" w:cs="宋体"/>
                <w:sz w:val="24"/>
                <w:szCs w:val="24"/>
              </w:rPr>
            </w:pPr>
            <w:r>
              <w:rPr>
                <w:rFonts w:hint="eastAsia" w:ascii="宋体" w:hAnsi="宋体" w:cs="宋体"/>
                <w:sz w:val="24"/>
                <w:szCs w:val="24"/>
              </w:rPr>
              <w:t>2、内容仅做概况性阐述，无详细实施步骤的，部分满足采购需求得2分；</w:t>
            </w:r>
          </w:p>
          <w:p w14:paraId="7E457ABA">
            <w:pPr>
              <w:rPr>
                <w:rFonts w:hint="eastAsia" w:ascii="宋体" w:hAnsi="宋体"/>
                <w:szCs w:val="21"/>
              </w:rPr>
            </w:pPr>
            <w:r>
              <w:rPr>
                <w:rFonts w:hint="eastAsia" w:ascii="宋体" w:hAnsi="宋体" w:cs="宋体"/>
                <w:sz w:val="24"/>
                <w:szCs w:val="24"/>
              </w:rPr>
              <w:t>3、内容未进行阐述得0分。</w:t>
            </w:r>
            <w:r>
              <w:rPr>
                <w:rFonts w:hint="eastAsia" w:ascii="宋体" w:hAnsi="宋体" w:cs="宋体"/>
                <w:szCs w:val="21"/>
              </w:rPr>
              <w:t>；</w:t>
            </w:r>
          </w:p>
        </w:tc>
        <w:tc>
          <w:tcPr>
            <w:tcW w:w="765" w:type="dxa"/>
            <w:vAlign w:val="center"/>
          </w:tcPr>
          <w:p w14:paraId="0C6BEB02">
            <w:pPr>
              <w:rPr>
                <w:rFonts w:hint="eastAsia" w:ascii="宋体" w:hAnsi="宋体"/>
                <w:szCs w:val="21"/>
              </w:rPr>
            </w:pPr>
            <w:r>
              <w:rPr>
                <w:rFonts w:hint="eastAsia" w:ascii="宋体" w:hAnsi="宋体"/>
                <w:szCs w:val="21"/>
              </w:rPr>
              <w:t>9</w:t>
            </w:r>
          </w:p>
        </w:tc>
      </w:tr>
      <w:tr w14:paraId="7C2C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4162C139">
            <w:pPr>
              <w:rPr>
                <w:rFonts w:hint="eastAsia" w:ascii="宋体" w:hAnsi="宋体"/>
                <w:szCs w:val="21"/>
              </w:rPr>
            </w:pPr>
          </w:p>
        </w:tc>
        <w:tc>
          <w:tcPr>
            <w:tcW w:w="1442" w:type="dxa"/>
            <w:vAlign w:val="center"/>
          </w:tcPr>
          <w:p w14:paraId="133EAEE4">
            <w:pPr>
              <w:rPr>
                <w:rFonts w:hint="eastAsia" w:ascii="宋体" w:hAnsi="宋体"/>
                <w:szCs w:val="21"/>
              </w:rPr>
            </w:pPr>
            <w:r>
              <w:rPr>
                <w:rFonts w:hint="eastAsia" w:ascii="宋体" w:hAnsi="宋体" w:cs="宋体"/>
                <w:sz w:val="24"/>
                <w:szCs w:val="24"/>
              </w:rPr>
              <w:t>应急响应预案及措施</w:t>
            </w:r>
          </w:p>
        </w:tc>
        <w:tc>
          <w:tcPr>
            <w:tcW w:w="5014" w:type="dxa"/>
            <w:vAlign w:val="center"/>
          </w:tcPr>
          <w:p w14:paraId="19A8D435">
            <w:pPr>
              <w:jc w:val="left"/>
              <w:rPr>
                <w:rFonts w:hint="eastAsia" w:ascii="宋体" w:hAnsi="宋体" w:cs="宋体"/>
                <w:sz w:val="24"/>
                <w:szCs w:val="24"/>
              </w:rPr>
            </w:pPr>
            <w:r>
              <w:rPr>
                <w:rFonts w:hint="eastAsia" w:ascii="宋体" w:hAnsi="宋体" w:cs="宋体"/>
                <w:sz w:val="24"/>
                <w:szCs w:val="24"/>
              </w:rPr>
              <w:t>对响应人提供应急响应预案及措施进行评价：（1）提供在医院维修过程中动火作业出现火情应急预案和措施；（2）提供在医院维修过程中出现人员受伤情况应急预案和措施</w:t>
            </w:r>
          </w:p>
          <w:p w14:paraId="7CE1A26F">
            <w:pPr>
              <w:jc w:val="left"/>
              <w:rPr>
                <w:rFonts w:hint="eastAsia" w:ascii="宋体" w:hAnsi="宋体" w:cs="宋体"/>
                <w:sz w:val="24"/>
                <w:szCs w:val="24"/>
              </w:rPr>
            </w:pPr>
            <w:r>
              <w:rPr>
                <w:rFonts w:hint="eastAsia" w:ascii="宋体" w:hAnsi="宋体" w:cs="宋体"/>
                <w:sz w:val="24"/>
                <w:szCs w:val="24"/>
              </w:rPr>
              <w:t>1、每项完善、可靠，措施有力，阐述详细得3分；</w:t>
            </w:r>
          </w:p>
          <w:p w14:paraId="77216A77">
            <w:pPr>
              <w:jc w:val="left"/>
              <w:rPr>
                <w:rFonts w:hint="eastAsia" w:ascii="宋体" w:hAnsi="宋体" w:cs="宋体"/>
                <w:sz w:val="24"/>
                <w:szCs w:val="24"/>
              </w:rPr>
            </w:pPr>
            <w:r>
              <w:rPr>
                <w:rFonts w:hint="eastAsia" w:ascii="宋体" w:hAnsi="宋体" w:cs="宋体"/>
                <w:sz w:val="24"/>
                <w:szCs w:val="24"/>
              </w:rPr>
              <w:t>2、每项仅做概况性阐述得2分；</w:t>
            </w:r>
          </w:p>
          <w:p w14:paraId="263097A8">
            <w:pPr>
              <w:rPr>
                <w:rFonts w:hint="eastAsia" w:ascii="宋体" w:hAnsi="宋体"/>
                <w:szCs w:val="21"/>
              </w:rPr>
            </w:pPr>
            <w:r>
              <w:rPr>
                <w:rFonts w:hint="eastAsia" w:ascii="宋体" w:hAnsi="宋体" w:cs="宋体"/>
                <w:sz w:val="24"/>
                <w:szCs w:val="24"/>
              </w:rPr>
              <w:t>3、未进行阐述得0分。</w:t>
            </w:r>
          </w:p>
        </w:tc>
        <w:tc>
          <w:tcPr>
            <w:tcW w:w="765" w:type="dxa"/>
            <w:vAlign w:val="center"/>
          </w:tcPr>
          <w:p w14:paraId="5B98E679">
            <w:pPr>
              <w:rPr>
                <w:rFonts w:hint="eastAsia" w:ascii="宋体" w:hAnsi="宋体"/>
                <w:szCs w:val="21"/>
              </w:rPr>
            </w:pPr>
            <w:r>
              <w:rPr>
                <w:rFonts w:hint="eastAsia" w:ascii="宋体" w:hAnsi="宋体"/>
                <w:szCs w:val="21"/>
              </w:rPr>
              <w:t>6</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shd w:val="clear" w:color="auto" w:fill="auto"/>
            <w:vAlign w:val="center"/>
          </w:tcPr>
          <w:p w14:paraId="3D7B0044">
            <w:pPr>
              <w:rPr>
                <w:rFonts w:hint="eastAsia" w:ascii="宋体" w:hAnsi="宋体"/>
                <w:szCs w:val="21"/>
              </w:rPr>
            </w:pPr>
            <w:r>
              <w:rPr>
                <w:rFonts w:hint="eastAsia" w:ascii="宋体" w:hAnsi="宋体"/>
                <w:szCs w:val="21"/>
              </w:rPr>
              <w:t>价格部分（20分）</w:t>
            </w:r>
          </w:p>
        </w:tc>
        <w:tc>
          <w:tcPr>
            <w:tcW w:w="1442" w:type="dxa"/>
            <w:shd w:val="clear" w:color="auto" w:fill="auto"/>
            <w:vAlign w:val="center"/>
          </w:tcPr>
          <w:p w14:paraId="116B43C5">
            <w:pPr>
              <w:rPr>
                <w:rFonts w:hint="eastAsia"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hint="eastAsia"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投标报价得分=(评标基准价/报价人所报报价)*20</w:t>
            </w:r>
          </w:p>
        </w:tc>
        <w:tc>
          <w:tcPr>
            <w:tcW w:w="765" w:type="dxa"/>
            <w:shd w:val="clear" w:color="auto" w:fill="auto"/>
            <w:vAlign w:val="center"/>
          </w:tcPr>
          <w:p w14:paraId="01A7BA2B">
            <w:pPr>
              <w:rPr>
                <w:rFonts w:hint="eastAsia" w:ascii="宋体" w:hAnsi="宋体"/>
                <w:szCs w:val="21"/>
              </w:rPr>
            </w:pPr>
            <w:r>
              <w:rPr>
                <w:rFonts w:hint="eastAsia" w:ascii="宋体" w:hAnsi="宋体"/>
                <w:szCs w:val="21"/>
              </w:rPr>
              <w:t>20</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FA2696"/>
    <w:multiLevelType w:val="singleLevel"/>
    <w:tmpl w:val="2AFA2696"/>
    <w:lvl w:ilvl="0" w:tentative="0">
      <w:start w:val="1"/>
      <w:numFmt w:val="chineseCounting"/>
      <w:suff w:val="space"/>
      <w:lvlText w:val="第%1部分"/>
      <w:lvlJc w:val="left"/>
      <w:rPr>
        <w:rFonts w:hint="eastAsia"/>
      </w:rPr>
    </w:lvl>
  </w:abstractNum>
  <w:abstractNum w:abstractNumId="3">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4">
    <w:nsid w:val="59F6D0D3"/>
    <w:multiLevelType w:val="singleLevel"/>
    <w:tmpl w:val="59F6D0D3"/>
    <w:lvl w:ilvl="0" w:tentative="0">
      <w:start w:val="1"/>
      <w:numFmt w:val="chineseCounting"/>
      <w:suff w:val="nothing"/>
      <w:lvlText w:val="%1、"/>
      <w:lvlJc w:val="left"/>
    </w:lvl>
  </w:abstractNum>
  <w:abstractNum w:abstractNumId="5">
    <w:nsid w:val="5F7DBD65"/>
    <w:multiLevelType w:val="singleLevel"/>
    <w:tmpl w:val="5F7DBD65"/>
    <w:lvl w:ilvl="0" w:tentative="0">
      <w:start w:val="1"/>
      <w:numFmt w:val="decimal"/>
      <w:lvlText w:val="%1."/>
      <w:lvlJc w:val="left"/>
      <w:pPr>
        <w:tabs>
          <w:tab w:val="left" w:pos="312"/>
        </w:tabs>
      </w:pPr>
    </w:lvl>
  </w:abstractNum>
  <w:abstractNum w:abstractNumId="6">
    <w:nsid w:val="6E5E583B"/>
    <w:multiLevelType w:val="singleLevel"/>
    <w:tmpl w:val="6E5E583B"/>
    <w:lvl w:ilvl="0" w:tentative="0">
      <w:start w:val="5"/>
      <w:numFmt w:val="decimal"/>
      <w:lvlText w:val="%1."/>
      <w:lvlJc w:val="left"/>
      <w:pPr>
        <w:tabs>
          <w:tab w:val="left" w:pos="312"/>
        </w:tabs>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78BD"/>
    <w:rsid w:val="00880E6D"/>
    <w:rsid w:val="00887BFB"/>
    <w:rsid w:val="008B0A76"/>
    <w:rsid w:val="008B7A59"/>
    <w:rsid w:val="008C05E7"/>
    <w:rsid w:val="008C5FE8"/>
    <w:rsid w:val="008D0631"/>
    <w:rsid w:val="008E5DD3"/>
    <w:rsid w:val="008F7C9D"/>
    <w:rsid w:val="00924A96"/>
    <w:rsid w:val="00936FC8"/>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B7A73"/>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3019D"/>
    <w:rsid w:val="00CA04DF"/>
    <w:rsid w:val="00CA5711"/>
    <w:rsid w:val="00CB307B"/>
    <w:rsid w:val="00CE0395"/>
    <w:rsid w:val="00CE3731"/>
    <w:rsid w:val="00D12427"/>
    <w:rsid w:val="00D3671D"/>
    <w:rsid w:val="00D5319A"/>
    <w:rsid w:val="00D6344C"/>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B33CD"/>
    <w:rsid w:val="00FC32F1"/>
    <w:rsid w:val="00FE5493"/>
    <w:rsid w:val="00FF173C"/>
    <w:rsid w:val="015519F9"/>
    <w:rsid w:val="023870D5"/>
    <w:rsid w:val="02C46BBB"/>
    <w:rsid w:val="02E80AFB"/>
    <w:rsid w:val="0313607B"/>
    <w:rsid w:val="043D09D3"/>
    <w:rsid w:val="055204AE"/>
    <w:rsid w:val="06706C7C"/>
    <w:rsid w:val="06DA69AD"/>
    <w:rsid w:val="07A1396F"/>
    <w:rsid w:val="08781FA9"/>
    <w:rsid w:val="08A63EFE"/>
    <w:rsid w:val="08C157E8"/>
    <w:rsid w:val="09047D11"/>
    <w:rsid w:val="0A2D5046"/>
    <w:rsid w:val="0ACF3A80"/>
    <w:rsid w:val="0AE6768A"/>
    <w:rsid w:val="0AEA4B9A"/>
    <w:rsid w:val="0B4C599F"/>
    <w:rsid w:val="0BEB340A"/>
    <w:rsid w:val="0CAD0AD3"/>
    <w:rsid w:val="0D202FC0"/>
    <w:rsid w:val="0D502D72"/>
    <w:rsid w:val="0D7731A8"/>
    <w:rsid w:val="0DC072B1"/>
    <w:rsid w:val="0DEA3506"/>
    <w:rsid w:val="0EA559FC"/>
    <w:rsid w:val="0F470958"/>
    <w:rsid w:val="10173DF5"/>
    <w:rsid w:val="10613FCD"/>
    <w:rsid w:val="10A8681D"/>
    <w:rsid w:val="113373E5"/>
    <w:rsid w:val="11405FA6"/>
    <w:rsid w:val="117E0760"/>
    <w:rsid w:val="119569CB"/>
    <w:rsid w:val="119A56B6"/>
    <w:rsid w:val="11CA0B93"/>
    <w:rsid w:val="121200E6"/>
    <w:rsid w:val="129465AA"/>
    <w:rsid w:val="129502E6"/>
    <w:rsid w:val="134A6492"/>
    <w:rsid w:val="136A730B"/>
    <w:rsid w:val="13AF2F6F"/>
    <w:rsid w:val="13C17950"/>
    <w:rsid w:val="13D515CD"/>
    <w:rsid w:val="147246C9"/>
    <w:rsid w:val="14C431D2"/>
    <w:rsid w:val="14C71CE1"/>
    <w:rsid w:val="15A24B3A"/>
    <w:rsid w:val="15C17134"/>
    <w:rsid w:val="16322361"/>
    <w:rsid w:val="16775FC6"/>
    <w:rsid w:val="16F71457"/>
    <w:rsid w:val="173016C8"/>
    <w:rsid w:val="17740758"/>
    <w:rsid w:val="183028D1"/>
    <w:rsid w:val="18982224"/>
    <w:rsid w:val="18EB67F8"/>
    <w:rsid w:val="1998129F"/>
    <w:rsid w:val="19C332D1"/>
    <w:rsid w:val="19CC5C7A"/>
    <w:rsid w:val="1A8B7370"/>
    <w:rsid w:val="1A954C6D"/>
    <w:rsid w:val="1AAB4490"/>
    <w:rsid w:val="1AC469A3"/>
    <w:rsid w:val="1B4D4E0E"/>
    <w:rsid w:val="1BBF042B"/>
    <w:rsid w:val="1C265991"/>
    <w:rsid w:val="1C627CB7"/>
    <w:rsid w:val="1CF55E5D"/>
    <w:rsid w:val="1D3B72FB"/>
    <w:rsid w:val="1D401FD5"/>
    <w:rsid w:val="1D6C392C"/>
    <w:rsid w:val="1D990A1B"/>
    <w:rsid w:val="1DBE34D3"/>
    <w:rsid w:val="1F090697"/>
    <w:rsid w:val="1FE7151C"/>
    <w:rsid w:val="20196340"/>
    <w:rsid w:val="206521B2"/>
    <w:rsid w:val="2173598E"/>
    <w:rsid w:val="220D75B2"/>
    <w:rsid w:val="221021E7"/>
    <w:rsid w:val="22D81FDD"/>
    <w:rsid w:val="23024E6A"/>
    <w:rsid w:val="236E7DBF"/>
    <w:rsid w:val="239214C6"/>
    <w:rsid w:val="24276EB2"/>
    <w:rsid w:val="24A0493A"/>
    <w:rsid w:val="24D37BDA"/>
    <w:rsid w:val="25C74149"/>
    <w:rsid w:val="26413EFB"/>
    <w:rsid w:val="26543C2E"/>
    <w:rsid w:val="26E01B86"/>
    <w:rsid w:val="27082C6B"/>
    <w:rsid w:val="273E668C"/>
    <w:rsid w:val="27441EF5"/>
    <w:rsid w:val="27B536B0"/>
    <w:rsid w:val="281700FA"/>
    <w:rsid w:val="2885728B"/>
    <w:rsid w:val="2887341B"/>
    <w:rsid w:val="29862BD7"/>
    <w:rsid w:val="29A924E3"/>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CD315D"/>
    <w:rsid w:val="30D37E45"/>
    <w:rsid w:val="31417665"/>
    <w:rsid w:val="31F65BC5"/>
    <w:rsid w:val="32CE6B16"/>
    <w:rsid w:val="333D278B"/>
    <w:rsid w:val="3344502A"/>
    <w:rsid w:val="34D44283"/>
    <w:rsid w:val="358B0CEF"/>
    <w:rsid w:val="35927347"/>
    <w:rsid w:val="35E6569D"/>
    <w:rsid w:val="366E2AEA"/>
    <w:rsid w:val="368A544A"/>
    <w:rsid w:val="36AC47DF"/>
    <w:rsid w:val="37676DCD"/>
    <w:rsid w:val="37986373"/>
    <w:rsid w:val="390E5EBF"/>
    <w:rsid w:val="39527CEC"/>
    <w:rsid w:val="39BD2529"/>
    <w:rsid w:val="3B0A3B18"/>
    <w:rsid w:val="3B1A12EE"/>
    <w:rsid w:val="3B76255E"/>
    <w:rsid w:val="3C3976F6"/>
    <w:rsid w:val="3CC03FCC"/>
    <w:rsid w:val="3D562A5C"/>
    <w:rsid w:val="3D5F430F"/>
    <w:rsid w:val="3DE6611C"/>
    <w:rsid w:val="3DED69EA"/>
    <w:rsid w:val="3F3655C1"/>
    <w:rsid w:val="401647C2"/>
    <w:rsid w:val="40CC793A"/>
    <w:rsid w:val="41032911"/>
    <w:rsid w:val="413F3372"/>
    <w:rsid w:val="41D43A1D"/>
    <w:rsid w:val="4269685C"/>
    <w:rsid w:val="43B63340"/>
    <w:rsid w:val="45AA20AF"/>
    <w:rsid w:val="4654512D"/>
    <w:rsid w:val="46A6238B"/>
    <w:rsid w:val="46AE164B"/>
    <w:rsid w:val="47981E3E"/>
    <w:rsid w:val="4839282C"/>
    <w:rsid w:val="48B30830"/>
    <w:rsid w:val="48B85E47"/>
    <w:rsid w:val="494C6983"/>
    <w:rsid w:val="4978464B"/>
    <w:rsid w:val="49EC70F2"/>
    <w:rsid w:val="4BF5224A"/>
    <w:rsid w:val="4C0118B3"/>
    <w:rsid w:val="4C15575E"/>
    <w:rsid w:val="4C654EB0"/>
    <w:rsid w:val="4CA50490"/>
    <w:rsid w:val="4D056A04"/>
    <w:rsid w:val="4DF02444"/>
    <w:rsid w:val="4E0A63A3"/>
    <w:rsid w:val="4E263020"/>
    <w:rsid w:val="4E7E7C6C"/>
    <w:rsid w:val="4EB329FB"/>
    <w:rsid w:val="4F243E16"/>
    <w:rsid w:val="500B320E"/>
    <w:rsid w:val="50BE1745"/>
    <w:rsid w:val="51145BE4"/>
    <w:rsid w:val="516F72BF"/>
    <w:rsid w:val="51DA13B2"/>
    <w:rsid w:val="524644C3"/>
    <w:rsid w:val="52E15F9A"/>
    <w:rsid w:val="53807259"/>
    <w:rsid w:val="53D035D9"/>
    <w:rsid w:val="53EB3716"/>
    <w:rsid w:val="54410308"/>
    <w:rsid w:val="54474D62"/>
    <w:rsid w:val="54D272FC"/>
    <w:rsid w:val="555667CB"/>
    <w:rsid w:val="5621327D"/>
    <w:rsid w:val="56282E9D"/>
    <w:rsid w:val="562B2653"/>
    <w:rsid w:val="562E7748"/>
    <w:rsid w:val="566E3FE9"/>
    <w:rsid w:val="57D83E10"/>
    <w:rsid w:val="58AC0B04"/>
    <w:rsid w:val="58E33856"/>
    <w:rsid w:val="58ED7447"/>
    <w:rsid w:val="59D94FB8"/>
    <w:rsid w:val="5A2A4A65"/>
    <w:rsid w:val="5B931BB5"/>
    <w:rsid w:val="5BC621D1"/>
    <w:rsid w:val="5C982E52"/>
    <w:rsid w:val="5C9A1694"/>
    <w:rsid w:val="5DAD6BC2"/>
    <w:rsid w:val="5E486CFE"/>
    <w:rsid w:val="5EF06D6B"/>
    <w:rsid w:val="5F5B0CB4"/>
    <w:rsid w:val="60687334"/>
    <w:rsid w:val="6080347D"/>
    <w:rsid w:val="608F34D9"/>
    <w:rsid w:val="627E3805"/>
    <w:rsid w:val="628250A4"/>
    <w:rsid w:val="63DC4C88"/>
    <w:rsid w:val="64325246"/>
    <w:rsid w:val="647B624F"/>
    <w:rsid w:val="6484151D"/>
    <w:rsid w:val="649A6DA1"/>
    <w:rsid w:val="64B41FCC"/>
    <w:rsid w:val="65015485"/>
    <w:rsid w:val="663518A2"/>
    <w:rsid w:val="6663343E"/>
    <w:rsid w:val="66A5036A"/>
    <w:rsid w:val="66FD1BB8"/>
    <w:rsid w:val="678533FB"/>
    <w:rsid w:val="6A426773"/>
    <w:rsid w:val="6AC43D66"/>
    <w:rsid w:val="6AF67915"/>
    <w:rsid w:val="6B171400"/>
    <w:rsid w:val="6B713F07"/>
    <w:rsid w:val="6BB36AC4"/>
    <w:rsid w:val="6C7415E1"/>
    <w:rsid w:val="6C797E42"/>
    <w:rsid w:val="6DEC3D19"/>
    <w:rsid w:val="6E3F209B"/>
    <w:rsid w:val="6E8201DA"/>
    <w:rsid w:val="6E992ABA"/>
    <w:rsid w:val="6F680508"/>
    <w:rsid w:val="6FDF2FA2"/>
    <w:rsid w:val="70967F6C"/>
    <w:rsid w:val="70CD0083"/>
    <w:rsid w:val="71995E2A"/>
    <w:rsid w:val="71A824CB"/>
    <w:rsid w:val="721D57F1"/>
    <w:rsid w:val="728A3B01"/>
    <w:rsid w:val="73571C35"/>
    <w:rsid w:val="744B00B0"/>
    <w:rsid w:val="746A136B"/>
    <w:rsid w:val="74833309"/>
    <w:rsid w:val="753158E4"/>
    <w:rsid w:val="753A35BC"/>
    <w:rsid w:val="75556648"/>
    <w:rsid w:val="75797513"/>
    <w:rsid w:val="759B7995"/>
    <w:rsid w:val="75B570E6"/>
    <w:rsid w:val="75D67759"/>
    <w:rsid w:val="75E67C61"/>
    <w:rsid w:val="76B54464"/>
    <w:rsid w:val="76C23698"/>
    <w:rsid w:val="76E60510"/>
    <w:rsid w:val="787E385B"/>
    <w:rsid w:val="78D67BCB"/>
    <w:rsid w:val="790E548B"/>
    <w:rsid w:val="7A0A5C53"/>
    <w:rsid w:val="7A5F6A9D"/>
    <w:rsid w:val="7B737828"/>
    <w:rsid w:val="7C3C0B9B"/>
    <w:rsid w:val="7C5F20CD"/>
    <w:rsid w:val="7C831CEC"/>
    <w:rsid w:val="7CBC4CE5"/>
    <w:rsid w:val="7D3314AE"/>
    <w:rsid w:val="7D3D633F"/>
    <w:rsid w:val="7D5B763F"/>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35"/>
    <w:qFormat/>
    <w:uiPriority w:val="0"/>
    <w:pPr>
      <w:keepNext/>
      <w:spacing w:before="120" w:after="120" w:line="360" w:lineRule="auto"/>
      <w:outlineLvl w:val="0"/>
    </w:pPr>
    <w:rPr>
      <w:rFonts w:ascii="宋体"/>
      <w:sz w:val="28"/>
    </w:rPr>
  </w:style>
  <w:style w:type="paragraph" w:styleId="2">
    <w:name w:val="heading 2"/>
    <w:basedOn w:val="1"/>
    <w:next w:val="1"/>
    <w:qFormat/>
    <w:uiPriority w:val="0"/>
    <w:pPr>
      <w:keepNext/>
      <w:spacing w:line="320" w:lineRule="atLeast"/>
      <w:jc w:val="center"/>
      <w:outlineLvl w:val="1"/>
    </w:pPr>
    <w:rPr>
      <w:b/>
    </w:rPr>
  </w:style>
  <w:style w:type="paragraph" w:styleId="4">
    <w:name w:val="heading 3"/>
    <w:basedOn w:val="1"/>
    <w:next w:val="5"/>
    <w:link w:val="36"/>
    <w:qFormat/>
    <w:uiPriority w:val="9"/>
    <w:pPr>
      <w:keepNext/>
      <w:keepLines/>
      <w:spacing w:before="260" w:after="260" w:line="416" w:lineRule="atLeast"/>
      <w:outlineLvl w:val="2"/>
    </w:pPr>
    <w:rPr>
      <w:b/>
      <w:bCs/>
      <w:sz w:val="32"/>
      <w:szCs w:val="32"/>
    </w:rPr>
  </w:style>
  <w:style w:type="paragraph" w:styleId="6">
    <w:name w:val="heading 5"/>
    <w:basedOn w:val="1"/>
    <w:next w:val="5"/>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3"/>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qFormat/>
    <w:uiPriority w:val="0"/>
  </w:style>
  <w:style w:type="paragraph" w:customStyle="1" w:styleId="62">
    <w:name w:val="修订1"/>
    <w:hidden/>
    <w:unhideWhenUsed/>
    <w:qFormat/>
    <w:uiPriority w:val="99"/>
    <w:rPr>
      <w:rFonts w:ascii="Times New Roman" w:hAnsi="Times New Roman" w:eastAsia="宋体" w:cs="Times New Roman"/>
      <w:sz w:val="21"/>
      <w:lang w:val="en-US" w:eastAsia="zh-CN" w:bidi="ar-SA"/>
    </w:rPr>
  </w:style>
  <w:style w:type="paragraph" w:customStyle="1" w:styleId="63">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34</Pages>
  <Words>13870</Words>
  <Characters>15076</Characters>
  <Lines>121</Lines>
  <Paragraphs>34</Paragraphs>
  <TotalTime>162</TotalTime>
  <ScaleCrop>false</ScaleCrop>
  <LinksUpToDate>false</LinksUpToDate>
  <CharactersWithSpaces>16256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2025-02-26T08:44:00Z</dcterms:created>
  <dc:creator>LSK</dc:creator>
  <cp:keywords>Birthday</cp:keywords>
  <cp:lastModifiedBy>ChuMom</cp:lastModifiedBy>
  <cp:lastPrinted>2014-11-14T09:02:00Z</cp:lastPrinted>
  <dcterms:modified xsi:type="dcterms:W3CDTF">2025-02-27T06:58:43Z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